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444444"/>
          <w:sz w:val="26"/>
          <w:szCs w:val="26"/>
        </w:rPr>
        <w:t xml:space="preserve">Week 3: Exploratory Data Analysis and Visualization Strategy</w:t>
      </w:r>
    </w:p>
    <w:p>
      <w:pPr>
        <w:spacing w:after="80"/>
        <w:jc w:val="center"/>
      </w:pPr>
      <w:r>
        <w:rPr>
          <w:color w:val="555555"/>
          <w:sz w:val="22"/>
          <w:szCs w:val="22"/>
        </w:rPr>
        <w:t xml:space="preserve">Virtual Data Science Apprentice – Python Specialist Intern</w:t>
      </w:r>
    </w:p>
    <w:p>
      <w:pPr>
        <w:spacing w:after="80"/>
        <w:jc w:val="center"/>
      </w:pPr>
      <w:r>
        <w:rPr>
          <w:color w:val="555555"/>
          <w:sz w:val="22"/>
          <w:szCs w:val="22"/>
        </w:rPr>
        <w:t xml:space="preserve">NSDC YuvaIntern Virtual Internship Program</w:t>
      </w:r>
    </w:p>
    <w:p>
      <w:pPr>
        <w:spacing w:after="80"/>
        <w:jc w:val="center"/>
      </w:pPr>
      <w:r>
        <w:rPr>
          <w:color w:val="555555"/>
          <w:sz w:val="22"/>
          <w:szCs w:val="22"/>
        </w:rPr>
        <w:t xml:space="preserve">Submitted by: [Your Name]</w:t>
      </w:r>
    </w:p>
    <w:p>
      <w:pPr>
        <w:spacing w:after="80"/>
        <w:jc w:val="center"/>
      </w:pPr>
      <w:r>
        <w:rPr>
          <w:color w:val="555555"/>
          <w:sz w:val="22"/>
          <w:szCs w:val="22"/>
        </w:rPr>
        <w:t xml:space="preserve">Date: [Submission Date]</w:t>
      </w:r>
    </w:p>
    <w:p>
      <w:r>
        <w:br w:type="page"/>
      </w:r>
    </w:p>
    <w:p>
      <w:pPr>
        <w:pStyle w:val="Heading1"/>
        <w:spacing w:after="160" w:before="320"/>
      </w:pPr>
      <w:r>
        <w:rPr>
          <w:b/>
          <w:bCs/>
          <w:color w:val="1F4E79"/>
        </w:rPr>
        <w:t xml:space="preserve">1. Introduction</w:t>
      </w:r>
    </w:p>
    <w:p>
      <w:pPr>
        <w:spacing w:after="160"/>
      </w:pPr>
      <w:r>
        <w:rPr>
          <w:sz w:val="22"/>
          <w:szCs w:val="22"/>
        </w:rPr>
        <w:t xml:space="preserve">Exploratory Data Analysis (EDA) is the stage where the cleaned dataset produced in Week 2 is examined visually and statistically to understand its structure, uncover relationships between features, and generate the insights that will guide model selection in Week 4. For the Disease Prediction System, EDA is especially important because it helps identify which clinical measurements are most strongly associated with disease presence, whether the data is balanced across outcome classes, and whether any feature relationships suggest engineering opportunities or modelling risks. This document sets out the EDA and visualization strategy: the specific plots to be produced, the Python libraries used to generate them, and how each visualization connects back to the project's objective of building an accurate, interpretable classifier.</w:t>
      </w:r>
    </w:p>
    <w:p>
      <w:pPr>
        <w:pStyle w:val="Heading1"/>
        <w:spacing w:after="160" w:before="320"/>
      </w:pPr>
      <w:r>
        <w:rPr>
          <w:b/>
          <w:bCs/>
          <w:color w:val="1F4E79"/>
        </w:rPr>
        <w:t xml:space="preserve">2. Objectives of the EDA Stage</w:t>
      </w:r>
    </w:p>
    <w:p>
      <w:pPr>
        <w:pStyle w:val="ListParagraph"/>
        <w:numPr>
          <w:ilvl w:val="0"/>
          <w:numId w:val="2"/>
        </w:numPr>
        <w:spacing w:after="80"/>
      </w:pPr>
      <w:r>
        <w:rPr>
          <w:sz w:val="22"/>
          <w:szCs w:val="22"/>
        </w:rPr>
        <w:t xml:space="preserve">Understand the distribution of each individual feature (univariate analysis).</w:t>
      </w:r>
    </w:p>
    <w:p>
      <w:pPr>
        <w:pStyle w:val="ListParagraph"/>
        <w:numPr>
          <w:ilvl w:val="0"/>
          <w:numId w:val="2"/>
        </w:numPr>
        <w:spacing w:after="80"/>
      </w:pPr>
      <w:r>
        <w:rPr>
          <w:sz w:val="22"/>
          <w:szCs w:val="22"/>
        </w:rPr>
        <w:t xml:space="preserve">Examine relationships between pairs of features and between each feature and the target variable (bivariate/multivariate analysis).</w:t>
      </w:r>
    </w:p>
    <w:p>
      <w:pPr>
        <w:pStyle w:val="ListParagraph"/>
        <w:numPr>
          <w:ilvl w:val="0"/>
          <w:numId w:val="2"/>
        </w:numPr>
        <w:spacing w:after="80"/>
      </w:pPr>
      <w:r>
        <w:rPr>
          <w:sz w:val="22"/>
          <w:szCs w:val="22"/>
        </w:rPr>
        <w:t xml:space="preserve">Check for class imbalance in the target variable (disease present vs. absent).</w:t>
      </w:r>
    </w:p>
    <w:p>
      <w:pPr>
        <w:pStyle w:val="ListParagraph"/>
        <w:numPr>
          <w:ilvl w:val="0"/>
          <w:numId w:val="2"/>
        </w:numPr>
        <w:spacing w:after="80"/>
      </w:pPr>
      <w:r>
        <w:rPr>
          <w:sz w:val="22"/>
          <w:szCs w:val="22"/>
        </w:rPr>
        <w:t xml:space="preserve">Identify multicollinearity between features that could affect certain model types.</w:t>
      </w:r>
    </w:p>
    <w:p>
      <w:pPr>
        <w:pStyle w:val="ListParagraph"/>
        <w:numPr>
          <w:ilvl w:val="0"/>
          <w:numId w:val="2"/>
        </w:numPr>
        <w:spacing w:after="80"/>
      </w:pPr>
      <w:r>
        <w:rPr>
          <w:sz w:val="22"/>
          <w:szCs w:val="22"/>
        </w:rPr>
        <w:t xml:space="preserve">Surface early signals about which features are likely to be strong predictors, to sanity-check against Week 4 model results.</w:t>
      </w:r>
    </w:p>
    <w:p>
      <w:pPr>
        <w:pStyle w:val="Heading1"/>
        <w:spacing w:after="160" w:before="320"/>
      </w:pPr>
      <w:r>
        <w:rPr>
          <w:b/>
          <w:bCs/>
          <w:color w:val="1F4E79"/>
        </w:rPr>
        <w:t xml:space="preserve">3. Univariate Analysis</w:t>
      </w:r>
    </w:p>
    <w:p>
      <w:pPr>
        <w:pStyle w:val="Heading2"/>
        <w:spacing w:after="120" w:before="220"/>
      </w:pPr>
      <w:r>
        <w:rPr>
          <w:b/>
          <w:bCs/>
          <w:color w:val="2E75B6"/>
        </w:rPr>
        <w:t xml:space="preserve">3.1 Numeric Features</w:t>
      </w:r>
    </w:p>
    <w:p>
      <w:pPr>
        <w:pStyle w:val="ListParagraph"/>
        <w:numPr>
          <w:ilvl w:val="0"/>
          <w:numId w:val="2"/>
        </w:numPr>
        <w:spacing w:after="80"/>
      </w:pPr>
      <w:r>
        <w:rPr>
          <w:sz w:val="22"/>
          <w:szCs w:val="22"/>
        </w:rPr>
        <w:t xml:space="preserve">Histograms with kernel density estimates (seaborn.histplot with kde=True) for age, resting blood pressure, cholesterol, and maximum heart rate, to understand shape, skew, and typical ranges.</w:t>
      </w:r>
    </w:p>
    <w:p>
      <w:pPr>
        <w:pStyle w:val="ListParagraph"/>
        <w:numPr>
          <w:ilvl w:val="0"/>
          <w:numId w:val="2"/>
        </w:numPr>
        <w:spacing w:after="80"/>
      </w:pPr>
      <w:r>
        <w:rPr>
          <w:sz w:val="22"/>
          <w:szCs w:val="22"/>
        </w:rPr>
        <w:t xml:space="preserve">Box plots (seaborn.boxplot) for each numeric feature to visually confirm the outlier treatment applied in Week 2 and spot any remaining anomalies.</w:t>
      </w:r>
    </w:p>
    <w:p>
      <w:pPr>
        <w:pStyle w:val="Heading2"/>
        <w:spacing w:after="120" w:before="220"/>
      </w:pPr>
      <w:r>
        <w:rPr>
          <w:b/>
          <w:bCs/>
          <w:color w:val="2E75B6"/>
        </w:rPr>
        <w:t xml:space="preserve">3.2 Categorical Features</w:t>
      </w:r>
    </w:p>
    <w:p>
      <w:pPr>
        <w:pStyle w:val="ListParagraph"/>
        <w:numPr>
          <w:ilvl w:val="0"/>
          <w:numId w:val="2"/>
        </w:numPr>
        <w:spacing w:after="80"/>
      </w:pPr>
      <w:r>
        <w:rPr>
          <w:sz w:val="22"/>
          <w:szCs w:val="22"/>
        </w:rPr>
        <w:t xml:space="preserve">Count plots (seaborn.countplot) for sex, chest pain type, fasting blood sugar, resting ECG results, and thalassemia result, to check category frequencies and confirm no category is so rare it will destabilize modelling.</w:t>
      </w:r>
    </w:p>
    <w:p>
      <w:pPr>
        <w:pStyle w:val="Heading1"/>
        <w:spacing w:after="160" w:before="320"/>
      </w:pPr>
      <w:r>
        <w:rPr>
          <w:b/>
          <w:bCs/>
          <w:color w:val="1F4E79"/>
        </w:rPr>
        <w:t xml:space="preserve">4. Bivariate and Multivariate Analysis</w:t>
      </w:r>
    </w:p>
    <w:p>
      <w:pPr>
        <w:pStyle w:val="Heading2"/>
        <w:spacing w:after="120" w:before="220"/>
      </w:pPr>
      <w:r>
        <w:rPr>
          <w:b/>
          <w:bCs/>
          <w:color w:val="2E75B6"/>
        </w:rPr>
        <w:t xml:space="preserve">4.1 Feature vs. Target Relationships</w:t>
      </w:r>
    </w:p>
    <w:p>
      <w:pPr>
        <w:pStyle w:val="ListParagraph"/>
        <w:numPr>
          <w:ilvl w:val="0"/>
          <w:numId w:val="2"/>
        </w:numPr>
        <w:spacing w:after="80"/>
      </w:pPr>
      <w:r>
        <w:rPr>
          <w:sz w:val="22"/>
          <w:szCs w:val="22"/>
        </w:rPr>
        <w:t xml:space="preserve">Grouped box plots showing the distribution of key numeric features (age, cholesterol, max heart rate) split by disease outcome, to visually assess separability between classes.</w:t>
      </w:r>
    </w:p>
    <w:p>
      <w:pPr>
        <w:pStyle w:val="ListParagraph"/>
        <w:numPr>
          <w:ilvl w:val="0"/>
          <w:numId w:val="2"/>
        </w:numPr>
        <w:spacing w:after="80"/>
      </w:pPr>
      <w:r>
        <w:rPr>
          <w:sz w:val="22"/>
          <w:szCs w:val="22"/>
        </w:rPr>
        <w:t xml:space="preserve">Grouped bar charts showing disease prevalence across categorical features such as chest pain type and sex.</w:t>
      </w:r>
    </w:p>
    <w:p>
      <w:pPr>
        <w:pStyle w:val="Heading2"/>
        <w:spacing w:after="120" w:before="220"/>
      </w:pPr>
      <w:r>
        <w:rPr>
          <w:b/>
          <w:bCs/>
          <w:color w:val="2E75B6"/>
        </w:rPr>
        <w:t xml:space="preserve">4.2 Correlation Analysis</w:t>
      </w:r>
    </w:p>
    <w:p>
      <w:pPr>
        <w:pStyle w:val="ListParagraph"/>
        <w:numPr>
          <w:ilvl w:val="0"/>
          <w:numId w:val="2"/>
        </w:numPr>
        <w:spacing w:after="80"/>
      </w:pPr>
      <w:r>
        <w:rPr>
          <w:sz w:val="22"/>
          <w:szCs w:val="22"/>
        </w:rPr>
        <w:t xml:space="preserve">A correlation heatmap (seaborn.heatmap) across all numeric features to identify multicollinearity that could affect coefficient-based models like logistic regression.</w:t>
      </w:r>
    </w:p>
    <w:p>
      <w:pPr>
        <w:pStyle w:val="ListParagraph"/>
        <w:numPr>
          <w:ilvl w:val="0"/>
          <w:numId w:val="2"/>
        </w:numPr>
        <w:spacing w:after="80"/>
      </w:pPr>
      <w:r>
        <w:rPr>
          <w:sz w:val="22"/>
          <w:szCs w:val="22"/>
        </w:rPr>
        <w:t xml:space="preserve">A pair plot (seaborn.pairplot) for a subset of the most relevant numeric features, colored by target class, to visually inspect class separability across feature combinations.</w:t>
      </w:r>
    </w:p>
    <w:p>
      <w:pPr>
        <w:pStyle w:val="Heading2"/>
        <w:spacing w:after="120" w:before="220"/>
      </w:pPr>
      <w:r>
        <w:rPr>
          <w:b/>
          <w:bCs/>
          <w:color w:val="2E75B6"/>
        </w:rPr>
        <w:t xml:space="preserve">4.3 Class Balance Check</w:t>
      </w:r>
    </w:p>
    <w:p>
      <w:pPr>
        <w:pStyle w:val="ListParagraph"/>
        <w:numPr>
          <w:ilvl w:val="0"/>
          <w:numId w:val="2"/>
        </w:numPr>
        <w:spacing w:after="80"/>
      </w:pPr>
      <w:r>
        <w:rPr>
          <w:sz w:val="22"/>
          <w:szCs w:val="22"/>
        </w:rPr>
        <w:t xml:space="preserve">A bar chart of target class counts to quantify how imbalanced the dataset is, which directly informs the choice of evaluation metrics in Week 4 (accuracy alone would be misleading if the classes are imbalanced).</w:t>
      </w:r>
    </w:p>
    <w:p>
      <w:pPr>
        <w:pStyle w:val="Heading1"/>
        <w:spacing w:after="160" w:before="320"/>
      </w:pPr>
      <w:r>
        <w:rPr>
          <w:b/>
          <w:bCs/>
          <w:color w:val="1F4E79"/>
        </w:rPr>
        <w:t xml:space="preserve">5. Visualization-to-Insight Mapping</w:t>
      </w:r>
    </w:p>
    <w:p>
      <w:pPr>
        <w:spacing w:after="160"/>
      </w:pPr>
      <w:r>
        <w:rPr>
          <w:sz w:val="22"/>
          <w:szCs w:val="22"/>
        </w:rPr>
        <w:t xml:space="preserve">Each visualization is chosen because it maps to a specific decision that will need to be made in later weeks. The table below makes that connection explicit.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c>
          <w:tcPr>
            <w:tcW w:type="dxa" w:w="2800"/>
            <w:shd w:fill="DDEBF7" w:val="clear"/>
            <w:tcMar>
              <w:top w:type="dxa" w:w="100"/>
              <w:left w:type="dxa" w:w="120"/>
              <w:bottom w:type="dxa" w:w="100"/>
              <w:right w:type="dxa" w:w="120"/>
            </w:tcMar>
          </w:tcPr>
          <w:p>
            <w:r>
              <w:rPr>
                <w:b/>
                <w:bCs/>
                <w:color w:val="1F4E79"/>
                <w:sz w:val="20"/>
                <w:szCs w:val="20"/>
              </w:rPr>
              <w:t xml:space="preserve">Visualization</w:t>
            </w:r>
          </w:p>
        </w:tc>
        <w:tc>
          <w:tcPr>
            <w:tcW w:type="dxa" w:w="1600"/>
            <w:shd w:fill="DDEBF7" w:val="clear"/>
            <w:tcMar>
              <w:top w:type="dxa" w:w="100"/>
              <w:left w:type="dxa" w:w="120"/>
              <w:bottom w:type="dxa" w:w="100"/>
              <w:right w:type="dxa" w:w="120"/>
            </w:tcMar>
          </w:tcPr>
          <w:p>
            <w:r>
              <w:rPr>
                <w:b/>
                <w:bCs/>
                <w:color w:val="1F4E79"/>
                <w:sz w:val="20"/>
                <w:szCs w:val="20"/>
              </w:rPr>
              <w:t xml:space="preserve">Library</w:t>
            </w:r>
          </w:p>
        </w:tc>
        <w:tc>
          <w:tcPr>
            <w:tcW w:type="dxa" w:w="4600"/>
            <w:shd w:fill="DDEBF7" w:val="clear"/>
            <w:tcMar>
              <w:top w:type="dxa" w:w="100"/>
              <w:left w:type="dxa" w:w="120"/>
              <w:bottom w:type="dxa" w:w="100"/>
              <w:right w:type="dxa" w:w="120"/>
            </w:tcMar>
          </w:tcPr>
          <w:p>
            <w:r>
              <w:rPr>
                <w:b/>
                <w:bCs/>
                <w:color w:val="1F4E79"/>
                <w:sz w:val="20"/>
                <w:szCs w:val="20"/>
              </w:rPr>
              <w:t xml:space="preserve">Insight It Should Reveal</w:t>
            </w:r>
          </w:p>
        </w:tc>
      </w:tr>
      <w:tr>
        <w:tc>
          <w:tcPr>
            <w:tcW w:type="dxa" w:w="2800"/>
            <w:tcMar>
              <w:top w:type="dxa" w:w="100"/>
              <w:left w:type="dxa" w:w="120"/>
              <w:bottom w:type="dxa" w:w="100"/>
              <w:right w:type="dxa" w:w="120"/>
            </w:tcMar>
          </w:tcPr>
          <w:p>
            <w:r>
              <w:rPr>
                <w:b w:val="false"/>
                <w:bCs w:val="false"/>
                <w:color w:val="222222"/>
                <w:sz w:val="20"/>
                <w:szCs w:val="20"/>
              </w:rPr>
              <w:t xml:space="preserve">Histogram + KDE per numeric feature</w:t>
            </w:r>
          </w:p>
        </w:tc>
        <w:tc>
          <w:tcPr>
            <w:tcW w:type="dxa" w:w="1600"/>
            <w:tcMar>
              <w:top w:type="dxa" w:w="100"/>
              <w:left w:type="dxa" w:w="120"/>
              <w:bottom w:type="dxa" w:w="100"/>
              <w:right w:type="dxa" w:w="120"/>
            </w:tcMar>
          </w:tcPr>
          <w:p>
            <w:r>
              <w:rPr>
                <w:b w:val="false"/>
                <w:bCs w:val="false"/>
                <w:color w:val="222222"/>
                <w:sz w:val="20"/>
                <w:szCs w:val="20"/>
              </w:rPr>
              <w:t xml:space="preserve">seaborn</w:t>
            </w:r>
          </w:p>
        </w:tc>
        <w:tc>
          <w:tcPr>
            <w:tcW w:type="dxa" w:w="4600"/>
            <w:tcMar>
              <w:top w:type="dxa" w:w="100"/>
              <w:left w:type="dxa" w:w="120"/>
              <w:bottom w:type="dxa" w:w="100"/>
              <w:right w:type="dxa" w:w="120"/>
            </w:tcMar>
          </w:tcPr>
          <w:p>
            <w:r>
              <w:rPr>
                <w:b w:val="false"/>
                <w:bCs w:val="false"/>
                <w:color w:val="222222"/>
                <w:sz w:val="20"/>
                <w:szCs w:val="20"/>
              </w:rPr>
              <w:t xml:space="preserve">Whether a feature is skewed (informs choice of scaler in Week 2/4)</w:t>
            </w:r>
          </w:p>
        </w:tc>
      </w:tr>
      <w:tr>
        <w:tc>
          <w:tcPr>
            <w:tcW w:type="dxa" w:w="2800"/>
            <w:tcMar>
              <w:top w:type="dxa" w:w="100"/>
              <w:left w:type="dxa" w:w="120"/>
              <w:bottom w:type="dxa" w:w="100"/>
              <w:right w:type="dxa" w:w="120"/>
            </w:tcMar>
          </w:tcPr>
          <w:p>
            <w:r>
              <w:rPr>
                <w:b w:val="false"/>
                <w:bCs w:val="false"/>
                <w:color w:val="222222"/>
                <w:sz w:val="20"/>
                <w:szCs w:val="20"/>
              </w:rPr>
              <w:t xml:space="preserve">Box plot by target class</w:t>
            </w:r>
          </w:p>
        </w:tc>
        <w:tc>
          <w:tcPr>
            <w:tcW w:type="dxa" w:w="1600"/>
            <w:tcMar>
              <w:top w:type="dxa" w:w="100"/>
              <w:left w:type="dxa" w:w="120"/>
              <w:bottom w:type="dxa" w:w="100"/>
              <w:right w:type="dxa" w:w="120"/>
            </w:tcMar>
          </w:tcPr>
          <w:p>
            <w:r>
              <w:rPr>
                <w:b w:val="false"/>
                <w:bCs w:val="false"/>
                <w:color w:val="222222"/>
                <w:sz w:val="20"/>
                <w:szCs w:val="20"/>
              </w:rPr>
              <w:t xml:space="preserve">seaborn</w:t>
            </w:r>
          </w:p>
        </w:tc>
        <w:tc>
          <w:tcPr>
            <w:tcW w:type="dxa" w:w="4600"/>
            <w:tcMar>
              <w:top w:type="dxa" w:w="100"/>
              <w:left w:type="dxa" w:w="120"/>
              <w:bottom w:type="dxa" w:w="100"/>
              <w:right w:type="dxa" w:w="120"/>
            </w:tcMar>
          </w:tcPr>
          <w:p>
            <w:r>
              <w:rPr>
                <w:b w:val="false"/>
                <w:bCs w:val="false"/>
                <w:color w:val="222222"/>
                <w:sz w:val="20"/>
                <w:szCs w:val="20"/>
              </w:rPr>
              <w:t xml:space="preserve">Whether a feature separates the two classes well (candidate strong predictor)</w:t>
            </w:r>
          </w:p>
        </w:tc>
      </w:tr>
      <w:tr>
        <w:tc>
          <w:tcPr>
            <w:tcW w:type="dxa" w:w="2800"/>
            <w:tcMar>
              <w:top w:type="dxa" w:w="100"/>
              <w:left w:type="dxa" w:w="120"/>
              <w:bottom w:type="dxa" w:w="100"/>
              <w:right w:type="dxa" w:w="120"/>
            </w:tcMar>
          </w:tcPr>
          <w:p>
            <w:r>
              <w:rPr>
                <w:b w:val="false"/>
                <w:bCs w:val="false"/>
                <w:color w:val="222222"/>
                <w:sz w:val="20"/>
                <w:szCs w:val="20"/>
              </w:rPr>
              <w:t xml:space="preserve">Correlation heatmap</w:t>
            </w:r>
          </w:p>
        </w:tc>
        <w:tc>
          <w:tcPr>
            <w:tcW w:type="dxa" w:w="1600"/>
            <w:tcMar>
              <w:top w:type="dxa" w:w="100"/>
              <w:left w:type="dxa" w:w="120"/>
              <w:bottom w:type="dxa" w:w="100"/>
              <w:right w:type="dxa" w:w="120"/>
            </w:tcMar>
          </w:tcPr>
          <w:p>
            <w:r>
              <w:rPr>
                <w:b w:val="false"/>
                <w:bCs w:val="false"/>
                <w:color w:val="222222"/>
                <w:sz w:val="20"/>
                <w:szCs w:val="20"/>
              </w:rPr>
              <w:t xml:space="preserve">seaborn</w:t>
            </w:r>
          </w:p>
        </w:tc>
        <w:tc>
          <w:tcPr>
            <w:tcW w:type="dxa" w:w="4600"/>
            <w:tcMar>
              <w:top w:type="dxa" w:w="100"/>
              <w:left w:type="dxa" w:w="120"/>
              <w:bottom w:type="dxa" w:w="100"/>
              <w:right w:type="dxa" w:w="120"/>
            </w:tcMar>
          </w:tcPr>
          <w:p>
            <w:r>
              <w:rPr>
                <w:b w:val="false"/>
                <w:bCs w:val="false"/>
                <w:color w:val="222222"/>
                <w:sz w:val="20"/>
                <w:szCs w:val="20"/>
              </w:rPr>
              <w:t xml:space="preserve">Multicollinearity that could destabilize logistic regression coefficients</w:t>
            </w:r>
          </w:p>
        </w:tc>
      </w:tr>
      <w:tr>
        <w:tc>
          <w:tcPr>
            <w:tcW w:type="dxa" w:w="2800"/>
            <w:tcMar>
              <w:top w:type="dxa" w:w="100"/>
              <w:left w:type="dxa" w:w="120"/>
              <w:bottom w:type="dxa" w:w="100"/>
              <w:right w:type="dxa" w:w="120"/>
            </w:tcMar>
          </w:tcPr>
          <w:p>
            <w:r>
              <w:rPr>
                <w:b w:val="false"/>
                <w:bCs w:val="false"/>
                <w:color w:val="222222"/>
                <w:sz w:val="20"/>
                <w:szCs w:val="20"/>
              </w:rPr>
              <w:t xml:space="preserve">Count plot of target variable</w:t>
            </w:r>
          </w:p>
        </w:tc>
        <w:tc>
          <w:tcPr>
            <w:tcW w:type="dxa" w:w="1600"/>
            <w:tcMar>
              <w:top w:type="dxa" w:w="100"/>
              <w:left w:type="dxa" w:w="120"/>
              <w:bottom w:type="dxa" w:w="100"/>
              <w:right w:type="dxa" w:w="120"/>
            </w:tcMar>
          </w:tcPr>
          <w:p>
            <w:r>
              <w:rPr>
                <w:b w:val="false"/>
                <w:bCs w:val="false"/>
                <w:color w:val="222222"/>
                <w:sz w:val="20"/>
                <w:szCs w:val="20"/>
              </w:rPr>
              <w:t xml:space="preserve">seaborn</w:t>
            </w:r>
          </w:p>
        </w:tc>
        <w:tc>
          <w:tcPr>
            <w:tcW w:type="dxa" w:w="4600"/>
            <w:tcMar>
              <w:top w:type="dxa" w:w="100"/>
              <w:left w:type="dxa" w:w="120"/>
              <w:bottom w:type="dxa" w:w="100"/>
              <w:right w:type="dxa" w:w="120"/>
            </w:tcMar>
          </w:tcPr>
          <w:p>
            <w:r>
              <w:rPr>
                <w:b w:val="false"/>
                <w:bCs w:val="false"/>
                <w:color w:val="222222"/>
                <w:sz w:val="20"/>
                <w:szCs w:val="20"/>
              </w:rPr>
              <w:t xml:space="preserve">Degree of class imbalance, driving metric choice in Week 4</w:t>
            </w:r>
          </w:p>
        </w:tc>
      </w:tr>
      <w:tr>
        <w:tc>
          <w:tcPr>
            <w:tcW w:type="dxa" w:w="2800"/>
            <w:tcMar>
              <w:top w:type="dxa" w:w="100"/>
              <w:left w:type="dxa" w:w="120"/>
              <w:bottom w:type="dxa" w:w="100"/>
              <w:right w:type="dxa" w:w="120"/>
            </w:tcMar>
          </w:tcPr>
          <w:p>
            <w:r>
              <w:rPr>
                <w:b w:val="false"/>
                <w:bCs w:val="false"/>
                <w:color w:val="222222"/>
                <w:sz w:val="20"/>
                <w:szCs w:val="20"/>
              </w:rPr>
              <w:t xml:space="preserve">Pair plot colored by class</w:t>
            </w:r>
          </w:p>
        </w:tc>
        <w:tc>
          <w:tcPr>
            <w:tcW w:type="dxa" w:w="1600"/>
            <w:tcMar>
              <w:top w:type="dxa" w:w="100"/>
              <w:left w:type="dxa" w:w="120"/>
              <w:bottom w:type="dxa" w:w="100"/>
              <w:right w:type="dxa" w:w="120"/>
            </w:tcMar>
          </w:tcPr>
          <w:p>
            <w:r>
              <w:rPr>
                <w:b w:val="false"/>
                <w:bCs w:val="false"/>
                <w:color w:val="222222"/>
                <w:sz w:val="20"/>
                <w:szCs w:val="20"/>
              </w:rPr>
              <w:t xml:space="preserve">seaborn</w:t>
            </w:r>
          </w:p>
        </w:tc>
        <w:tc>
          <w:tcPr>
            <w:tcW w:type="dxa" w:w="4600"/>
            <w:tcMar>
              <w:top w:type="dxa" w:w="100"/>
              <w:left w:type="dxa" w:w="120"/>
              <w:bottom w:type="dxa" w:w="100"/>
              <w:right w:type="dxa" w:w="120"/>
            </w:tcMar>
          </w:tcPr>
          <w:p>
            <w:r>
              <w:rPr>
                <w:b w:val="false"/>
                <w:bCs w:val="false"/>
                <w:color w:val="222222"/>
                <w:sz w:val="20"/>
                <w:szCs w:val="20"/>
              </w:rPr>
              <w:t xml:space="preserve">Whether simple feature combinations already separate classes, hinting at model complexity needed</w:t>
            </w:r>
          </w:p>
        </w:tc>
      </w:tr>
    </w:tbl>
    <w:p>
      <w:pPr>
        <w:pStyle w:val="Heading1"/>
        <w:spacing w:after="160" w:before="320"/>
      </w:pPr>
      <w:r>
        <w:rPr>
          <w:b/>
          <w:bCs/>
          <w:color w:val="1F4E79"/>
        </w:rPr>
        <w:t xml:space="preserve">6. Step-by-Step Implementation Plan</w:t>
      </w:r>
    </w:p>
    <w:p>
      <w:pPr>
        <w:pStyle w:val="ListParagraph"/>
        <w:numPr>
          <w:ilvl w:val="0"/>
          <w:numId w:val="3"/>
        </w:numPr>
        <w:spacing w:after="100"/>
      </w:pPr>
      <w:r>
        <w:rPr>
          <w:sz w:val="22"/>
          <w:szCs w:val="22"/>
        </w:rPr>
        <w:t xml:space="preserve">Load the cleaned dataset produced in Week 2 and confirm no unexpected missing values remain.</w:t>
      </w:r>
    </w:p>
    <w:p>
      <w:pPr>
        <w:pStyle w:val="ListParagraph"/>
        <w:numPr>
          <w:ilvl w:val="0"/>
          <w:numId w:val="3"/>
        </w:numPr>
        <w:spacing w:after="100"/>
      </w:pPr>
      <w:r>
        <w:rPr>
          <w:sz w:val="22"/>
          <w:szCs w:val="22"/>
        </w:rPr>
        <w:t xml:space="preserve">Generate summary statistics (df.describe()) as a numeric baseline before any plotting.</w:t>
      </w:r>
    </w:p>
    <w:p>
      <w:pPr>
        <w:pStyle w:val="ListParagraph"/>
        <w:numPr>
          <w:ilvl w:val="0"/>
          <w:numId w:val="3"/>
        </w:numPr>
        <w:spacing w:after="100"/>
      </w:pPr>
      <w:r>
        <w:rPr>
          <w:sz w:val="22"/>
          <w:szCs w:val="22"/>
        </w:rPr>
        <w:t xml:space="preserve">Produce univariate plots for all numeric and categorical features, saving each to a shared figures/ folder with descriptive filenames.</w:t>
      </w:r>
    </w:p>
    <w:p>
      <w:pPr>
        <w:pStyle w:val="ListParagraph"/>
        <w:numPr>
          <w:ilvl w:val="0"/>
          <w:numId w:val="3"/>
        </w:numPr>
        <w:spacing w:after="100"/>
      </w:pPr>
      <w:r>
        <w:rPr>
          <w:sz w:val="22"/>
          <w:szCs w:val="22"/>
        </w:rPr>
        <w:t xml:space="preserve">Produce the correlation heatmap and flag any feature pairs with correlation above 0.7 for review.</w:t>
      </w:r>
    </w:p>
    <w:p>
      <w:pPr>
        <w:pStyle w:val="ListParagraph"/>
        <w:numPr>
          <w:ilvl w:val="0"/>
          <w:numId w:val="3"/>
        </w:numPr>
        <w:spacing w:after="100"/>
      </w:pPr>
      <w:r>
        <w:rPr>
          <w:sz w:val="22"/>
          <w:szCs w:val="22"/>
        </w:rPr>
        <w:t xml:space="preserve">Produce grouped box plots and bar charts of each feature against the target variable.</w:t>
      </w:r>
    </w:p>
    <w:p>
      <w:pPr>
        <w:pStyle w:val="ListParagraph"/>
        <w:numPr>
          <w:ilvl w:val="0"/>
          <w:numId w:val="3"/>
        </w:numPr>
        <w:spacing w:after="100"/>
      </w:pPr>
      <w:r>
        <w:rPr>
          <w:sz w:val="22"/>
          <w:szCs w:val="22"/>
        </w:rPr>
        <w:t xml:space="preserve">Document 3–5 key written insights per visualization category (univariate, bivariate, correlation) directly beneath each plot.</w:t>
      </w:r>
    </w:p>
    <w:p>
      <w:pPr>
        <w:pStyle w:val="ListParagraph"/>
        <w:numPr>
          <w:ilvl w:val="0"/>
          <w:numId w:val="3"/>
        </w:numPr>
        <w:spacing w:after="100"/>
      </w:pPr>
      <w:r>
        <w:rPr>
          <w:sz w:val="22"/>
          <w:szCs w:val="22"/>
        </w:rPr>
        <w:t xml:space="preserve">Summarize overall findings in a short 'Key Takeaways' section to carry forward into Week 4 model selection.</w:t>
      </w:r>
    </w:p>
    <w:p>
      <w:pPr>
        <w:pStyle w:val="Heading1"/>
        <w:spacing w:after="160" w:before="320"/>
      </w:pPr>
      <w:r>
        <w:rPr>
          <w:b/>
          <w:bCs/>
          <w:color w:val="1F4E79"/>
        </w:rPr>
        <w:t xml:space="preserve">7. Anticipated Findings (Hypotheses to Validate)</w:t>
      </w:r>
    </w:p>
    <w:p>
      <w:pPr>
        <w:spacing w:after="160"/>
      </w:pPr>
      <w:r>
        <w:rPr>
          <w:sz w:val="22"/>
          <w:szCs w:val="22"/>
        </w:rPr>
        <w:t xml:space="preserve">Based on prior domain knowledge of cardiovascular risk factors, the following hypotheses will be tested visually and statistically during EDA:</w:t>
      </w:r>
    </w:p>
    <w:p>
      <w:pPr>
        <w:pStyle w:val="ListParagraph"/>
        <w:numPr>
          <w:ilvl w:val="0"/>
          <w:numId w:val="2"/>
        </w:numPr>
        <w:spacing w:after="80"/>
      </w:pPr>
      <w:r>
        <w:rPr>
          <w:sz w:val="22"/>
          <w:szCs w:val="22"/>
        </w:rPr>
        <w:t xml:space="preserve">Older age and higher cholesterol are expected to correlate with a higher likelihood of disease presence.</w:t>
      </w:r>
    </w:p>
    <w:p>
      <w:pPr>
        <w:pStyle w:val="ListParagraph"/>
        <w:numPr>
          <w:ilvl w:val="0"/>
          <w:numId w:val="2"/>
        </w:numPr>
        <w:spacing w:after="80"/>
      </w:pPr>
      <w:r>
        <w:rPr>
          <w:sz w:val="22"/>
          <w:szCs w:val="22"/>
        </w:rPr>
        <w:t xml:space="preserve">Chest pain type is expected to be one of the more strongly associated categorical features with the target.</w:t>
      </w:r>
    </w:p>
    <w:p>
      <w:pPr>
        <w:pStyle w:val="ListParagraph"/>
        <w:numPr>
          <w:ilvl w:val="0"/>
          <w:numId w:val="2"/>
        </w:numPr>
        <w:spacing w:after="80"/>
      </w:pPr>
      <w:r>
        <w:rPr>
          <w:sz w:val="22"/>
          <w:szCs w:val="22"/>
        </w:rPr>
        <w:t xml:space="preserve">Maximum heart rate achieved during exercise testing is expected to be inversely related to disease presence.</w:t>
      </w:r>
    </w:p>
    <w:p>
      <w:pPr>
        <w:pStyle w:val="ListParagraph"/>
        <w:numPr>
          <w:ilvl w:val="0"/>
          <w:numId w:val="2"/>
        </w:numPr>
        <w:spacing w:after="80"/>
      </w:pPr>
      <w:r>
        <w:rPr>
          <w:sz w:val="22"/>
          <w:szCs w:val="22"/>
        </w:rPr>
        <w:t xml:space="preserve">The dataset is expected to show a moderate, not extreme, class imbalance, based on prior public documentation of this dataset.</w:t>
      </w:r>
    </w:p>
    <w:p>
      <w:pPr>
        <w:pStyle w:val="Heading1"/>
        <w:spacing w:after="160" w:before="320"/>
      </w:pPr>
      <w:r>
        <w:rPr>
          <w:b/>
          <w:bCs/>
          <w:color w:val="1F4E79"/>
        </w:rPr>
        <w:t xml:space="preserve">8. Anticipated Challenges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DDEBF7" w:val="clear"/>
            <w:tcMar>
              <w:top w:type="dxa" w:w="100"/>
              <w:left w:type="dxa" w:w="120"/>
              <w:bottom w:type="dxa" w:w="100"/>
              <w:right w:type="dxa" w:w="120"/>
            </w:tcMar>
          </w:tcPr>
          <w:p>
            <w:r>
              <w:rPr>
                <w:b/>
                <w:bCs/>
                <w:color w:val="1F4E79"/>
                <w:sz w:val="20"/>
                <w:szCs w:val="20"/>
              </w:rPr>
              <w:t xml:space="preserve">Challenge</w:t>
            </w:r>
          </w:p>
        </w:tc>
        <w:tc>
          <w:tcPr>
            <w:tcW w:type="dxa" w:w="4800"/>
            <w:shd w:fill="DDEBF7" w:val="clear"/>
            <w:tcMar>
              <w:top w:type="dxa" w:w="100"/>
              <w:left w:type="dxa" w:w="120"/>
              <w:bottom w:type="dxa" w:w="100"/>
              <w:right w:type="dxa" w:w="120"/>
            </w:tcMar>
          </w:tcPr>
          <w:p>
            <w:r>
              <w:rPr>
                <w:b/>
                <w:bCs/>
                <w:color w:val="1F4E79"/>
                <w:sz w:val="20"/>
                <w:szCs w:val="20"/>
              </w:rPr>
              <w:t xml:space="preserve">Mitigation</w:t>
            </w:r>
          </w:p>
        </w:tc>
      </w:tr>
      <w:tr>
        <w:tc>
          <w:tcPr>
            <w:tcW w:type="dxa" w:w="4200"/>
            <w:tcMar>
              <w:top w:type="dxa" w:w="100"/>
              <w:left w:type="dxa" w:w="120"/>
              <w:bottom w:type="dxa" w:w="100"/>
              <w:right w:type="dxa" w:w="120"/>
            </w:tcMar>
          </w:tcPr>
          <w:p>
            <w:r>
              <w:rPr>
                <w:b w:val="false"/>
                <w:bCs w:val="false"/>
                <w:color w:val="222222"/>
                <w:sz w:val="20"/>
                <w:szCs w:val="20"/>
              </w:rPr>
              <w:t xml:space="preserve">Overplotting or unreadable charts with many categorical levels</w:t>
            </w:r>
          </w:p>
        </w:tc>
        <w:tc>
          <w:tcPr>
            <w:tcW w:type="dxa" w:w="4800"/>
            <w:tcMar>
              <w:top w:type="dxa" w:w="100"/>
              <w:left w:type="dxa" w:w="120"/>
              <w:bottom w:type="dxa" w:w="100"/>
              <w:right w:type="dxa" w:w="120"/>
            </w:tcMar>
          </w:tcPr>
          <w:p>
            <w:r>
              <w:rPr>
                <w:b w:val="false"/>
                <w:bCs w:val="false"/>
                <w:color w:val="222222"/>
                <w:sz w:val="20"/>
                <w:szCs w:val="20"/>
              </w:rPr>
              <w:t xml:space="preserve">Limit pair plots to a curated subset of features rather than the full feature set.</w:t>
            </w:r>
          </w:p>
        </w:tc>
      </w:tr>
      <w:tr>
        <w:tc>
          <w:tcPr>
            <w:tcW w:type="dxa" w:w="4200"/>
            <w:tcMar>
              <w:top w:type="dxa" w:w="100"/>
              <w:left w:type="dxa" w:w="120"/>
              <w:bottom w:type="dxa" w:w="100"/>
              <w:right w:type="dxa" w:w="120"/>
            </w:tcMar>
          </w:tcPr>
          <w:p>
            <w:r>
              <w:rPr>
                <w:b w:val="false"/>
                <w:bCs w:val="false"/>
                <w:color w:val="222222"/>
                <w:sz w:val="20"/>
                <w:szCs w:val="20"/>
              </w:rPr>
              <w:t xml:space="preserve">Misinterpreting correlation as causation</w:t>
            </w:r>
          </w:p>
        </w:tc>
        <w:tc>
          <w:tcPr>
            <w:tcW w:type="dxa" w:w="4800"/>
            <w:tcMar>
              <w:top w:type="dxa" w:w="100"/>
              <w:left w:type="dxa" w:w="120"/>
              <w:bottom w:type="dxa" w:w="100"/>
              <w:right w:type="dxa" w:w="120"/>
            </w:tcMar>
          </w:tcPr>
          <w:p>
            <w:r>
              <w:rPr>
                <w:b w:val="false"/>
                <w:bCs w:val="false"/>
                <w:color w:val="222222"/>
                <w:sz w:val="20"/>
                <w:szCs w:val="20"/>
              </w:rPr>
              <w:t xml:space="preserve">Explicitly caveat all correlation-based observations in the written report.</w:t>
            </w:r>
          </w:p>
        </w:tc>
      </w:tr>
      <w:tr>
        <w:tc>
          <w:tcPr>
            <w:tcW w:type="dxa" w:w="4200"/>
            <w:tcMar>
              <w:top w:type="dxa" w:w="100"/>
              <w:left w:type="dxa" w:w="120"/>
              <w:bottom w:type="dxa" w:w="100"/>
              <w:right w:type="dxa" w:w="120"/>
            </w:tcMar>
          </w:tcPr>
          <w:p>
            <w:r>
              <w:rPr>
                <w:b w:val="false"/>
                <w:bCs w:val="false"/>
                <w:color w:val="222222"/>
                <w:sz w:val="20"/>
                <w:szCs w:val="20"/>
              </w:rPr>
              <w:t xml:space="preserve">Visual patterns that don't hold up statistically</w:t>
            </w:r>
          </w:p>
        </w:tc>
        <w:tc>
          <w:tcPr>
            <w:tcW w:type="dxa" w:w="4800"/>
            <w:tcMar>
              <w:top w:type="dxa" w:w="100"/>
              <w:left w:type="dxa" w:w="120"/>
              <w:bottom w:type="dxa" w:w="100"/>
              <w:right w:type="dxa" w:w="120"/>
            </w:tcMar>
          </w:tcPr>
          <w:p>
            <w:r>
              <w:rPr>
                <w:b w:val="false"/>
                <w:bCs w:val="false"/>
                <w:color w:val="222222"/>
                <w:sz w:val="20"/>
                <w:szCs w:val="20"/>
              </w:rPr>
              <w:t xml:space="preserve">Pair every visual insight with a simple statistical check (e.g., group means) before treating it as a finding.</w:t>
            </w:r>
          </w:p>
        </w:tc>
      </w:tr>
    </w:tbl>
    <w:p>
      <w:pPr>
        <w:pStyle w:val="Heading1"/>
        <w:spacing w:after="160" w:before="320"/>
      </w:pPr>
      <w:r>
        <w:rPr>
          <w:b/>
          <w:bCs/>
          <w:color w:val="1F4E79"/>
        </w:rPr>
        <w:t xml:space="preserve">9. Conclusion</w:t>
      </w:r>
    </w:p>
    <w:p>
      <w:pPr>
        <w:spacing w:after="160"/>
      </w:pPr>
      <w:r>
        <w:rPr>
          <w:sz w:val="22"/>
          <w:szCs w:val="22"/>
        </w:rPr>
        <w:t xml:space="preserve">This EDA and visualization strategy is designed to turn the cleaned Disease Prediction System dataset into a set of concrete, documented insights about which features matter, how classes are distributed, and where multicollinearity or skew might affect modelling choices. The findings from this stage — captured visually and in writing — will directly inform the model selection and evaluation plan developed in Week 4, ensuring the final model is built on an evidence-based understanding of the data rather than assumptions.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2026-09-02T06:06:48.108Z</dcterms:created>
  <dcterms:modified xsi:type="dcterms:W3CDTF">2026-09-02T06:06:48.108Z</dcterms:modified>
</cp:coreProperties>
</file>

<file path=docProps/custom.xml><?xml version="1.0" encoding="utf-8"?>
<Properties xmlns="http://schemas.openxmlformats.org/officeDocument/2006/custom-properties" xmlns:vt="http://schemas.openxmlformats.org/officeDocument/2006/docPropsVTypes"/>
</file>