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F46E5"/>
          <w:sz w:val="40"/>
          <w:szCs w:val="40"/>
        </w:rPr>
        <w:t xml:space="preserve">Problem - Solution Fit Template</w:t>
      </w:r>
    </w:p>
    <w:p>
      <w:pPr>
        <w:spacing w:after="300"/>
      </w:pPr>
      <w:r>
        <w:rPr>
          <w:color w:val="6B7280"/>
          <w:sz w:val="24"/>
          <w:szCs w:val="24"/>
        </w:rPr>
        <w:t xml:space="preserve">Credit Card Approval Prediction</w:t>
      </w:r>
    </w:p>
    <w:p>
      <w:pPr>
        <w:pStyle w:val="Heading1"/>
        <w:spacing w:after="120" w:before="260"/>
      </w:pPr>
      <w:r>
        <w:t xml:space="preserve">Problem</w:t>
      </w:r>
    </w:p>
    <w:p>
      <w:pPr>
        <w:spacing w:after="120"/>
      </w:pPr>
      <w:r>
        <w:t xml:space="preserve">Manual credit card application screening is slow, inconsistent across reviewers, and doesn't scale with application volume. Applicants also have no way to check their own eligibility before formally applying.</w:t>
      </w:r>
    </w:p>
    <w:p>
      <w:pPr>
        <w:pStyle w:val="Heading1"/>
        <w:spacing w:after="120" w:before="260"/>
      </w:pPr>
      <w:r>
        <w:t xml:space="preserve">Target Customer Segment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Primary: bank credit analysts / underwriting teams screening high application volumes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Secondary: prospective applicants wanting a self-service eligibility check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Tertiary: compliance officers needing consistent, auditable policy enforcement</w:t>
      </w:r>
    </w:p>
    <w:p>
      <w:pPr>
        <w:pStyle w:val="Heading1"/>
        <w:spacing w:after="120" w:before="260"/>
      </w:pPr>
      <w:r>
        <w:t xml:space="preserve">Existing Alternatives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800"/>
            <w:shd w:fill="4F46E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Fully manual review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Slow, inconsistent, doesn't scale, hard to audit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Spreadsheet-based rule checklists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Still manual, error-prone, no learning from historical outcomes, easy to skip a rule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Generic third-party credit-scoring APIs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Black-box, not tailored to the bank's own policy or historical applicant outcomes, ongoing cost</w:t>
            </w:r>
          </w:p>
        </w:tc>
      </w:tr>
    </w:tbl>
    <w:p>
      <w:pPr>
        <w:pStyle w:val="Heading1"/>
        <w:spacing w:after="120" w:before="260"/>
      </w:pPr>
      <w:r>
        <w:t xml:space="preserve">Our Solution</w:t>
      </w:r>
    </w:p>
    <w:p>
      <w:pPr>
        <w:spacing w:after="120"/>
      </w:pPr>
      <w:r>
        <w:t xml:space="preserve">A hybrid rules-plus-ML web application: hard eligibility rules (mirroring real Indian bank/RBI policy) run first and can reject outright with explicit reasons; applicants who pass are then scored by the best of four trained classification models, with the decision explained in plain language.</w:t>
      </w:r>
    </w:p>
    <w:p>
      <w:pPr>
        <w:pStyle w:val="Heading1"/>
        <w:spacing w:after="120" w:before="260"/>
      </w:pPr>
      <w:r>
        <w:t xml:space="preserve">Unique Value Proposition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Combines non-negotiable policy compliance with the pattern-recognition strength of ML -- neither alone is sufficient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decision comes with specific, human-readable reasons, not just a score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Self-service eligibility check reduces unnecessary formal applications and hard credit inquiries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Fully auditable: every prediction is stored with the applicant profile and the model that produced it</w:t>
      </w:r>
    </w:p>
    <w:p>
      <w:pPr>
        <w:pStyle w:val="Heading1"/>
        <w:spacing w:after="120" w:before="260"/>
      </w:pPr>
      <w:r>
        <w:t xml:space="preserve">Early Validation Signals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original project specification explicitly calls for both a rules layer (via the ER diagram's Approval_Prediction/Applicant_Details relationship) and an ML layer -- validating that both are expected, not just one or the other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Indian bank public policy documentation (minimum CIBIL score, minimum income thresholds, age limits) confirms these rules are real, current underwriting practice, not invented constraints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2026-07-19T06:20:40.189Z</dcterms:created>
  <dcterms:modified xsi:type="dcterms:W3CDTF">2026-07-19T06:20:40.189Z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