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FC28C" w14:textId="661AE83A" w:rsidR="007D05CD" w:rsidRPr="00923446" w:rsidRDefault="007D05CD" w:rsidP="007D05CD">
      <w:pPr>
        <w:pStyle w:val="Header"/>
        <w:rPr>
          <w:rFonts w:ascii="Arial" w:hAnsi="Arial" w:cs="Arial"/>
          <w:b/>
          <w:bCs/>
          <w:sz w:val="22"/>
          <w:szCs w:val="22"/>
        </w:rPr>
      </w:pPr>
      <w:r w:rsidRPr="00923446">
        <w:rPr>
          <w:rFonts w:ascii="Arial" w:hAnsi="Arial" w:cs="Arial"/>
          <w:b/>
          <w:sz w:val="22"/>
          <w:szCs w:val="22"/>
        </w:rPr>
        <w:t>TITLE: - SOP for</w:t>
      </w:r>
      <w:r w:rsidR="000D6A85" w:rsidRPr="00923446">
        <w:rPr>
          <w:rFonts w:ascii="Arial" w:hAnsi="Arial" w:cs="Arial"/>
          <w:b/>
          <w:sz w:val="22"/>
          <w:szCs w:val="22"/>
        </w:rPr>
        <w:t xml:space="preserve"> </w:t>
      </w:r>
      <w:r w:rsidR="00E75DD8" w:rsidRPr="00923446">
        <w:rPr>
          <w:rFonts w:ascii="Arial" w:hAnsi="Arial" w:cs="Arial"/>
          <w:b/>
          <w:sz w:val="22"/>
          <w:szCs w:val="22"/>
        </w:rPr>
        <w:t>Trial Run</w:t>
      </w:r>
      <w:r w:rsidR="0010612E">
        <w:rPr>
          <w:rFonts w:ascii="Arial" w:hAnsi="Arial" w:cs="Arial"/>
          <w:b/>
          <w:sz w:val="22"/>
          <w:szCs w:val="22"/>
        </w:rPr>
        <w:t>, Endurance</w:t>
      </w:r>
      <w:r w:rsidR="00E75DD8" w:rsidRPr="00923446">
        <w:rPr>
          <w:rFonts w:ascii="Arial" w:hAnsi="Arial" w:cs="Arial"/>
          <w:b/>
          <w:sz w:val="22"/>
          <w:szCs w:val="22"/>
        </w:rPr>
        <w:t xml:space="preserve"> </w:t>
      </w:r>
      <w:r w:rsidR="003F28F1">
        <w:rPr>
          <w:rFonts w:ascii="Arial" w:hAnsi="Arial" w:cs="Arial"/>
          <w:b/>
          <w:sz w:val="22"/>
          <w:szCs w:val="22"/>
        </w:rPr>
        <w:t xml:space="preserve">testing &amp; performance testing </w:t>
      </w:r>
      <w:r w:rsidR="00E75DD8" w:rsidRPr="00923446">
        <w:rPr>
          <w:rFonts w:ascii="Arial" w:hAnsi="Arial" w:cs="Arial"/>
          <w:b/>
          <w:sz w:val="22"/>
          <w:szCs w:val="22"/>
        </w:rPr>
        <w:t>of Fire Fighting Pump at Hathidah T Point (PHBMPL Barauni)</w:t>
      </w:r>
    </w:p>
    <w:p w14:paraId="7BFA7B59" w14:textId="77777777" w:rsidR="007D05CD" w:rsidRPr="00923446" w:rsidRDefault="007D05CD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6228"/>
        <w:gridCol w:w="2050"/>
      </w:tblGrid>
      <w:tr w:rsidR="007D05CD" w:rsidRPr="00923446" w14:paraId="4559E5A0" w14:textId="77777777" w:rsidTr="000221BF">
        <w:trPr>
          <w:trHeight w:val="283"/>
        </w:trPr>
        <w:tc>
          <w:tcPr>
            <w:tcW w:w="409" w:type="pct"/>
          </w:tcPr>
          <w:p w14:paraId="46D8D750" w14:textId="77777777" w:rsidR="007D05CD" w:rsidRPr="00923446" w:rsidRDefault="007D05CD" w:rsidP="003F625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23446">
              <w:rPr>
                <w:rFonts w:ascii="Arial" w:hAnsi="Arial" w:cs="Arial"/>
                <w:b/>
                <w:sz w:val="22"/>
                <w:szCs w:val="22"/>
              </w:rPr>
              <w:t>SL. NO.</w:t>
            </w:r>
          </w:p>
        </w:tc>
        <w:tc>
          <w:tcPr>
            <w:tcW w:w="3454" w:type="pct"/>
          </w:tcPr>
          <w:p w14:paraId="07C8FD4B" w14:textId="197DC9AE" w:rsidR="007D05CD" w:rsidRPr="00923446" w:rsidRDefault="007D05CD" w:rsidP="003F625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23446">
              <w:rPr>
                <w:rFonts w:ascii="Arial" w:hAnsi="Arial" w:cs="Arial"/>
                <w:b/>
                <w:sz w:val="22"/>
                <w:szCs w:val="22"/>
              </w:rPr>
              <w:t>ACTIVITY</w:t>
            </w:r>
            <w:r w:rsidR="00920073">
              <w:rPr>
                <w:rFonts w:ascii="Arial" w:hAnsi="Arial" w:cs="Arial"/>
                <w:b/>
                <w:sz w:val="22"/>
                <w:szCs w:val="22"/>
              </w:rPr>
              <w:t>- Trail Run</w:t>
            </w:r>
          </w:p>
        </w:tc>
        <w:tc>
          <w:tcPr>
            <w:tcW w:w="1137" w:type="pct"/>
          </w:tcPr>
          <w:p w14:paraId="44A9E8EF" w14:textId="77777777" w:rsidR="007D05CD" w:rsidRPr="00923446" w:rsidRDefault="007D05CD" w:rsidP="003F625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23446">
              <w:rPr>
                <w:rFonts w:ascii="Arial" w:hAnsi="Arial" w:cs="Arial"/>
                <w:b/>
                <w:sz w:val="22"/>
                <w:szCs w:val="22"/>
              </w:rPr>
              <w:t>RESPONSIBILITY</w:t>
            </w:r>
          </w:p>
        </w:tc>
      </w:tr>
      <w:tr w:rsidR="00923446" w:rsidRPr="00923446" w14:paraId="08536F49" w14:textId="77777777" w:rsidTr="000221BF">
        <w:trPr>
          <w:trHeight w:val="283"/>
        </w:trPr>
        <w:tc>
          <w:tcPr>
            <w:tcW w:w="409" w:type="pct"/>
          </w:tcPr>
          <w:p w14:paraId="24CB0BEF" w14:textId="77777777" w:rsidR="00923446" w:rsidRPr="00923446" w:rsidRDefault="00923446" w:rsidP="0092344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4" w:type="pct"/>
            <w:vAlign w:val="center"/>
          </w:tcPr>
          <w:p w14:paraId="66301C73" w14:textId="35940A81" w:rsidR="00923446" w:rsidRDefault="00923446" w:rsidP="0092344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3446">
              <w:rPr>
                <w:rFonts w:ascii="Arial" w:hAnsi="Arial" w:cs="Arial"/>
                <w:sz w:val="22"/>
                <w:szCs w:val="22"/>
              </w:rPr>
              <w:t xml:space="preserve">Trial run of firefighting pumping units (FFE-1/2) are to be taken </w:t>
            </w:r>
            <w:r w:rsidR="0010612E">
              <w:rPr>
                <w:rFonts w:ascii="Arial" w:hAnsi="Arial" w:cs="Arial"/>
                <w:sz w:val="22"/>
                <w:szCs w:val="22"/>
              </w:rPr>
              <w:t>once daily, preferably during general shift</w:t>
            </w:r>
            <w:r w:rsidR="0031782F" w:rsidRPr="0031782F">
              <w:rPr>
                <w:rFonts w:ascii="Arial" w:hAnsi="Arial" w:cs="Arial"/>
                <w:sz w:val="22"/>
                <w:szCs w:val="22"/>
              </w:rPr>
              <w:t xml:space="preserve"> with Maintenance team</w:t>
            </w:r>
            <w:r w:rsidR="0031782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57B4">
              <w:rPr>
                <w:rFonts w:ascii="Arial" w:hAnsi="Arial" w:cs="Arial"/>
                <w:sz w:val="22"/>
                <w:szCs w:val="22"/>
              </w:rPr>
              <w:t xml:space="preserve">&amp; each firefighting </w:t>
            </w:r>
            <w:r w:rsidR="00340F3F">
              <w:rPr>
                <w:rFonts w:ascii="Arial" w:hAnsi="Arial" w:cs="Arial"/>
                <w:sz w:val="22"/>
                <w:szCs w:val="22"/>
              </w:rPr>
              <w:t>engines</w:t>
            </w:r>
            <w:r w:rsidR="00B557B4">
              <w:rPr>
                <w:rFonts w:ascii="Arial" w:hAnsi="Arial" w:cs="Arial"/>
                <w:sz w:val="22"/>
                <w:szCs w:val="22"/>
              </w:rPr>
              <w:t xml:space="preserve"> to be trial run</w:t>
            </w:r>
            <w:r w:rsidR="003A3D3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57B4">
              <w:rPr>
                <w:rFonts w:ascii="Arial" w:hAnsi="Arial" w:cs="Arial"/>
                <w:sz w:val="22"/>
                <w:szCs w:val="22"/>
              </w:rPr>
              <w:t xml:space="preserve">for min 30 mins </w:t>
            </w:r>
            <w:r w:rsidR="003A3D39">
              <w:rPr>
                <w:rFonts w:ascii="Arial" w:hAnsi="Arial" w:cs="Arial"/>
                <w:sz w:val="22"/>
                <w:szCs w:val="22"/>
              </w:rPr>
              <w:t>at-least</w:t>
            </w:r>
            <w:r w:rsidR="00B557B4">
              <w:rPr>
                <w:rFonts w:ascii="Arial" w:hAnsi="Arial" w:cs="Arial"/>
                <w:sz w:val="22"/>
                <w:szCs w:val="22"/>
              </w:rPr>
              <w:t xml:space="preserve"> twice a week.</w:t>
            </w:r>
            <w:r w:rsidR="00BA58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D711D">
              <w:rPr>
                <w:rFonts w:ascii="Arial" w:hAnsi="Arial" w:cs="Arial"/>
                <w:sz w:val="22"/>
                <w:szCs w:val="22"/>
              </w:rPr>
              <w:t>B</w:t>
            </w:r>
            <w:r w:rsidR="00BA58D5">
              <w:rPr>
                <w:rFonts w:ascii="Arial" w:hAnsi="Arial" w:cs="Arial"/>
                <w:sz w:val="22"/>
                <w:szCs w:val="22"/>
              </w:rPr>
              <w:t>ased on no. of Fire fighting units available, following combination of schedule for trial run to be followed.</w:t>
            </w:r>
          </w:p>
          <w:p w14:paraId="15C0E11A" w14:textId="77777777" w:rsidR="00BA58D5" w:rsidRDefault="00BA58D5" w:rsidP="0092344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857"/>
              <w:gridCol w:w="857"/>
              <w:gridCol w:w="858"/>
              <w:gridCol w:w="858"/>
              <w:gridCol w:w="858"/>
              <w:gridCol w:w="858"/>
            </w:tblGrid>
            <w:tr w:rsidR="00BA58D5" w14:paraId="57204F00" w14:textId="77777777" w:rsidTr="00BA58D5">
              <w:tc>
                <w:tcPr>
                  <w:tcW w:w="857" w:type="dxa"/>
                </w:tcPr>
                <w:p w14:paraId="4E450EF2" w14:textId="77777777" w:rsidR="00BA58D5" w:rsidRDefault="00BA58D5" w:rsidP="0092344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Day/</w:t>
                  </w:r>
                </w:p>
                <w:p w14:paraId="3D381769" w14:textId="50DD20ED" w:rsidR="00BA58D5" w:rsidRDefault="00BA58D5" w:rsidP="0092344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No. of FFE</w:t>
                  </w:r>
                </w:p>
              </w:tc>
              <w:tc>
                <w:tcPr>
                  <w:tcW w:w="857" w:type="dxa"/>
                </w:tcPr>
                <w:p w14:paraId="2BE6F016" w14:textId="3D64CF51" w:rsidR="00BA58D5" w:rsidRDefault="00BA58D5" w:rsidP="0092344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Mon</w:t>
                  </w:r>
                </w:p>
              </w:tc>
              <w:tc>
                <w:tcPr>
                  <w:tcW w:w="857" w:type="dxa"/>
                </w:tcPr>
                <w:p w14:paraId="559546C5" w14:textId="5080BC78" w:rsidR="00BA58D5" w:rsidRDefault="00BA58D5" w:rsidP="0092344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Tue</w:t>
                  </w:r>
                </w:p>
              </w:tc>
              <w:tc>
                <w:tcPr>
                  <w:tcW w:w="858" w:type="dxa"/>
                </w:tcPr>
                <w:p w14:paraId="5AC8D80B" w14:textId="169A2116" w:rsidR="00BA58D5" w:rsidRDefault="00BA58D5" w:rsidP="0092344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Wed </w:t>
                  </w:r>
                </w:p>
              </w:tc>
              <w:tc>
                <w:tcPr>
                  <w:tcW w:w="858" w:type="dxa"/>
                </w:tcPr>
                <w:p w14:paraId="66150E16" w14:textId="564396FE" w:rsidR="00BA58D5" w:rsidRDefault="00BA58D5" w:rsidP="0092344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Thu </w:t>
                  </w:r>
                </w:p>
              </w:tc>
              <w:tc>
                <w:tcPr>
                  <w:tcW w:w="858" w:type="dxa"/>
                </w:tcPr>
                <w:p w14:paraId="50CA5801" w14:textId="7231ABF4" w:rsidR="00BA58D5" w:rsidRDefault="00BA58D5" w:rsidP="0092344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Fri </w:t>
                  </w:r>
                </w:p>
              </w:tc>
              <w:tc>
                <w:tcPr>
                  <w:tcW w:w="858" w:type="dxa"/>
                </w:tcPr>
                <w:p w14:paraId="7D9EFB6C" w14:textId="32FAF5E8" w:rsidR="00BA58D5" w:rsidRDefault="00BA58D5" w:rsidP="0092344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Sat </w:t>
                  </w:r>
                </w:p>
              </w:tc>
            </w:tr>
            <w:tr w:rsidR="00BA58D5" w14:paraId="0C99D554" w14:textId="77777777" w:rsidTr="00BA58D5">
              <w:tc>
                <w:tcPr>
                  <w:tcW w:w="857" w:type="dxa"/>
                </w:tcPr>
                <w:p w14:paraId="0D839B14" w14:textId="3543F4FF" w:rsidR="00BA58D5" w:rsidRDefault="00BA58D5" w:rsidP="0092344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02</w:t>
                  </w:r>
                </w:p>
              </w:tc>
              <w:tc>
                <w:tcPr>
                  <w:tcW w:w="857" w:type="dxa"/>
                </w:tcPr>
                <w:p w14:paraId="0CE10D35" w14:textId="58F85A8B" w:rsidR="00BA58D5" w:rsidRDefault="00BA58D5" w:rsidP="0092344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FF UNIT-01</w:t>
                  </w:r>
                  <w:r w:rsidR="00FD711D">
                    <w:rPr>
                      <w:rFonts w:ascii="Arial" w:hAnsi="Arial" w:cs="Arial"/>
                      <w:sz w:val="22"/>
                      <w:szCs w:val="22"/>
                    </w:rPr>
                    <w:t xml:space="preserve"> (30 Min)</w:t>
                  </w:r>
                </w:p>
              </w:tc>
              <w:tc>
                <w:tcPr>
                  <w:tcW w:w="857" w:type="dxa"/>
                </w:tcPr>
                <w:p w14:paraId="30C473E9" w14:textId="63E3699D" w:rsidR="00BA58D5" w:rsidRDefault="00BA58D5" w:rsidP="0092344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FF UNIT-02</w:t>
                  </w:r>
                  <w:r w:rsidR="00FD711D">
                    <w:rPr>
                      <w:rFonts w:ascii="Arial" w:hAnsi="Arial" w:cs="Arial"/>
                      <w:sz w:val="22"/>
                      <w:szCs w:val="22"/>
                    </w:rPr>
                    <w:t xml:space="preserve"> (30 Min)</w:t>
                  </w:r>
                </w:p>
              </w:tc>
              <w:tc>
                <w:tcPr>
                  <w:tcW w:w="858" w:type="dxa"/>
                </w:tcPr>
                <w:p w14:paraId="7B9F7A52" w14:textId="408F320A" w:rsidR="00BA58D5" w:rsidRDefault="00BA58D5" w:rsidP="0092344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FF UNIT-01</w:t>
                  </w:r>
                  <w:r w:rsidR="00FD711D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r w:rsidR="004038E8"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  <w:r w:rsidR="00FD711D">
                    <w:rPr>
                      <w:rFonts w:ascii="Arial" w:hAnsi="Arial" w:cs="Arial"/>
                      <w:sz w:val="22"/>
                      <w:szCs w:val="22"/>
                    </w:rPr>
                    <w:t>0 Min)</w:t>
                  </w:r>
                </w:p>
              </w:tc>
              <w:tc>
                <w:tcPr>
                  <w:tcW w:w="858" w:type="dxa"/>
                </w:tcPr>
                <w:p w14:paraId="3024A356" w14:textId="24D8BBBE" w:rsidR="00BA58D5" w:rsidRDefault="00BA58D5" w:rsidP="0092344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FF UNIT-02</w:t>
                  </w:r>
                  <w:r w:rsidR="00FD711D">
                    <w:rPr>
                      <w:rFonts w:ascii="Arial" w:hAnsi="Arial" w:cs="Arial"/>
                      <w:sz w:val="22"/>
                      <w:szCs w:val="22"/>
                    </w:rPr>
                    <w:t>(10 Min)</w:t>
                  </w:r>
                </w:p>
              </w:tc>
              <w:tc>
                <w:tcPr>
                  <w:tcW w:w="858" w:type="dxa"/>
                </w:tcPr>
                <w:p w14:paraId="089AE45A" w14:textId="4698CDFE" w:rsidR="00BA58D5" w:rsidRDefault="00BA58D5" w:rsidP="0092344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FF UNIT-01</w:t>
                  </w:r>
                  <w:r w:rsidR="00FD711D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r w:rsidR="004038E8">
                    <w:rPr>
                      <w:rFonts w:ascii="Arial" w:hAnsi="Arial" w:cs="Arial"/>
                      <w:sz w:val="22"/>
                      <w:szCs w:val="22"/>
                    </w:rPr>
                    <w:t>3</w:t>
                  </w:r>
                  <w:r w:rsidR="00FD711D">
                    <w:rPr>
                      <w:rFonts w:ascii="Arial" w:hAnsi="Arial" w:cs="Arial"/>
                      <w:sz w:val="22"/>
                      <w:szCs w:val="22"/>
                    </w:rPr>
                    <w:t>0 Min)</w:t>
                  </w:r>
                </w:p>
              </w:tc>
              <w:tc>
                <w:tcPr>
                  <w:tcW w:w="858" w:type="dxa"/>
                </w:tcPr>
                <w:p w14:paraId="3936F676" w14:textId="0D9FAF1A" w:rsidR="00BA58D5" w:rsidRDefault="00BA58D5" w:rsidP="00923446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FF UNIT-02</w:t>
                  </w:r>
                  <w:r w:rsidR="00FD711D">
                    <w:rPr>
                      <w:rFonts w:ascii="Arial" w:hAnsi="Arial" w:cs="Arial"/>
                      <w:sz w:val="22"/>
                      <w:szCs w:val="22"/>
                    </w:rPr>
                    <w:t xml:space="preserve"> (30 Min)</w:t>
                  </w:r>
                </w:p>
              </w:tc>
            </w:tr>
          </w:tbl>
          <w:p w14:paraId="1C959D61" w14:textId="779D8347" w:rsidR="00BA58D5" w:rsidRPr="00923446" w:rsidRDefault="00BA58D5" w:rsidP="0092344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7" w:type="pct"/>
          </w:tcPr>
          <w:p w14:paraId="32C345A4" w14:textId="56960E43" w:rsidR="00923446" w:rsidRPr="00923446" w:rsidRDefault="00474307" w:rsidP="009234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QRT STATIONED AT LOCATION</w:t>
            </w:r>
          </w:p>
        </w:tc>
      </w:tr>
      <w:tr w:rsidR="00923446" w:rsidRPr="00923446" w14:paraId="4C1D3A8E" w14:textId="77777777" w:rsidTr="000221BF">
        <w:trPr>
          <w:trHeight w:val="283"/>
        </w:trPr>
        <w:tc>
          <w:tcPr>
            <w:tcW w:w="409" w:type="pct"/>
          </w:tcPr>
          <w:p w14:paraId="5A87C6F6" w14:textId="77777777" w:rsidR="00923446" w:rsidRPr="00923446" w:rsidRDefault="00923446" w:rsidP="0092344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4" w:type="pct"/>
            <w:vAlign w:val="center"/>
          </w:tcPr>
          <w:p w14:paraId="25E8B17F" w14:textId="36AB94E2" w:rsidR="00923446" w:rsidRPr="00923446" w:rsidRDefault="00923446" w:rsidP="0092344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3446">
              <w:rPr>
                <w:rFonts w:ascii="Arial" w:hAnsi="Arial" w:cs="Arial"/>
                <w:sz w:val="22"/>
                <w:szCs w:val="22"/>
              </w:rPr>
              <w:t xml:space="preserve">Ensure that </w:t>
            </w:r>
            <w:r w:rsidR="005F12CA">
              <w:rPr>
                <w:rFonts w:ascii="Arial" w:hAnsi="Arial" w:cs="Arial"/>
                <w:sz w:val="22"/>
                <w:szCs w:val="22"/>
              </w:rPr>
              <w:t xml:space="preserve">level of </w:t>
            </w:r>
            <w:r w:rsidRPr="00923446">
              <w:rPr>
                <w:rFonts w:ascii="Arial" w:hAnsi="Arial" w:cs="Arial"/>
                <w:sz w:val="22"/>
                <w:szCs w:val="22"/>
              </w:rPr>
              <w:t xml:space="preserve">fuel, </w:t>
            </w:r>
            <w:r w:rsidR="003F05CF">
              <w:rPr>
                <w:rFonts w:ascii="Arial" w:hAnsi="Arial" w:cs="Arial"/>
                <w:sz w:val="22"/>
                <w:szCs w:val="22"/>
              </w:rPr>
              <w:t xml:space="preserve">coolant, </w:t>
            </w:r>
            <w:r w:rsidRPr="00923446">
              <w:rPr>
                <w:rFonts w:ascii="Arial" w:hAnsi="Arial" w:cs="Arial"/>
                <w:sz w:val="22"/>
                <w:szCs w:val="22"/>
              </w:rPr>
              <w:t xml:space="preserve">lubricating-oil of all the engine operated fire-fighting pumps (FFE-1/2) are adequate.  </w:t>
            </w:r>
          </w:p>
        </w:tc>
        <w:tc>
          <w:tcPr>
            <w:tcW w:w="1137" w:type="pct"/>
          </w:tcPr>
          <w:p w14:paraId="6AEE1EB7" w14:textId="372E216D" w:rsidR="00923446" w:rsidRPr="00923446" w:rsidRDefault="0096614E" w:rsidP="0092344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3446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220312" w:rsidRPr="00923446" w14:paraId="50D3B727" w14:textId="77777777" w:rsidTr="000221BF">
        <w:trPr>
          <w:trHeight w:val="283"/>
        </w:trPr>
        <w:tc>
          <w:tcPr>
            <w:tcW w:w="409" w:type="pct"/>
          </w:tcPr>
          <w:p w14:paraId="7D1D4ED3" w14:textId="77777777" w:rsidR="00220312" w:rsidRPr="00923446" w:rsidRDefault="00220312" w:rsidP="0092344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4" w:type="pct"/>
            <w:vAlign w:val="center"/>
          </w:tcPr>
          <w:p w14:paraId="6865F96C" w14:textId="66755BAC" w:rsidR="00220312" w:rsidRPr="00923446" w:rsidRDefault="00220312" w:rsidP="0092344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Ensure that all joints are tight to avoid any leakage. </w:t>
            </w:r>
          </w:p>
        </w:tc>
        <w:tc>
          <w:tcPr>
            <w:tcW w:w="1137" w:type="pct"/>
          </w:tcPr>
          <w:p w14:paraId="2B1E9F58" w14:textId="38D8F8A9" w:rsidR="00220312" w:rsidRPr="00923446" w:rsidRDefault="00562972" w:rsidP="0092344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3446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220312" w:rsidRPr="00923446" w14:paraId="5E6AEC06" w14:textId="77777777" w:rsidTr="000221BF">
        <w:trPr>
          <w:trHeight w:val="283"/>
        </w:trPr>
        <w:tc>
          <w:tcPr>
            <w:tcW w:w="409" w:type="pct"/>
          </w:tcPr>
          <w:p w14:paraId="62974863" w14:textId="77777777" w:rsidR="00220312" w:rsidRPr="00923446" w:rsidRDefault="00220312" w:rsidP="0092344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4" w:type="pct"/>
            <w:vAlign w:val="center"/>
          </w:tcPr>
          <w:p w14:paraId="60C0DFBF" w14:textId="57EDDEEA" w:rsidR="00220312" w:rsidRPr="00923446" w:rsidRDefault="00220312" w:rsidP="0092344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Ensure that suction &amp; discharge valves are in open state.</w:t>
            </w:r>
          </w:p>
        </w:tc>
        <w:tc>
          <w:tcPr>
            <w:tcW w:w="1137" w:type="pct"/>
          </w:tcPr>
          <w:p w14:paraId="62547DCC" w14:textId="76C8436F" w:rsidR="00220312" w:rsidRPr="00923446" w:rsidRDefault="00562972" w:rsidP="0092344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3446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220312" w:rsidRPr="00923446" w14:paraId="1227D0E1" w14:textId="77777777" w:rsidTr="000221BF">
        <w:trPr>
          <w:trHeight w:val="283"/>
        </w:trPr>
        <w:tc>
          <w:tcPr>
            <w:tcW w:w="409" w:type="pct"/>
          </w:tcPr>
          <w:p w14:paraId="3F25DE62" w14:textId="77777777" w:rsidR="00220312" w:rsidRPr="00923446" w:rsidRDefault="00220312" w:rsidP="0092344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4" w:type="pct"/>
            <w:vAlign w:val="center"/>
          </w:tcPr>
          <w:p w14:paraId="2AD12D32" w14:textId="2B637B39" w:rsidR="00220312" w:rsidRPr="00923446" w:rsidRDefault="00562972" w:rsidP="0092344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3446">
              <w:rPr>
                <w:rFonts w:ascii="Arial" w:hAnsi="Arial" w:cs="Arial"/>
                <w:sz w:val="22"/>
                <w:szCs w:val="22"/>
              </w:rPr>
              <w:t>Ensure that cranking batteries voltage is not below 24V for starting engine operated FF pump.</w:t>
            </w:r>
          </w:p>
        </w:tc>
        <w:tc>
          <w:tcPr>
            <w:tcW w:w="1137" w:type="pct"/>
          </w:tcPr>
          <w:p w14:paraId="35BF979A" w14:textId="7BCFE392" w:rsidR="00220312" w:rsidRPr="00923446" w:rsidRDefault="00562972" w:rsidP="0092344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3446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562972" w:rsidRPr="00923446" w14:paraId="30D1CB6F" w14:textId="77777777" w:rsidTr="000221BF">
        <w:trPr>
          <w:trHeight w:val="283"/>
        </w:trPr>
        <w:tc>
          <w:tcPr>
            <w:tcW w:w="409" w:type="pct"/>
          </w:tcPr>
          <w:p w14:paraId="10488A6A" w14:textId="77777777" w:rsidR="00562972" w:rsidRPr="00923446" w:rsidRDefault="00562972" w:rsidP="0092344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4" w:type="pct"/>
            <w:vAlign w:val="center"/>
          </w:tcPr>
          <w:p w14:paraId="49F2AFF7" w14:textId="16761C4F" w:rsidR="00562972" w:rsidRPr="00923446" w:rsidRDefault="00562972" w:rsidP="0092344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the recirculation valve/monitor (as per applicability) partially for adjusting the fire water network pressure.</w:t>
            </w:r>
            <w:r w:rsidR="000221B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37" w:type="pct"/>
          </w:tcPr>
          <w:p w14:paraId="7E557E0E" w14:textId="715A47C1" w:rsidR="00562972" w:rsidRPr="00923446" w:rsidRDefault="00562972" w:rsidP="0092344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3446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923446" w:rsidRPr="00923446" w14:paraId="52E6A3F4" w14:textId="77777777" w:rsidTr="000221BF">
        <w:trPr>
          <w:trHeight w:val="283"/>
        </w:trPr>
        <w:tc>
          <w:tcPr>
            <w:tcW w:w="409" w:type="pct"/>
          </w:tcPr>
          <w:p w14:paraId="185C3EF7" w14:textId="77777777" w:rsidR="00923446" w:rsidRPr="00923446" w:rsidRDefault="00923446" w:rsidP="0092344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4" w:type="pct"/>
            <w:vAlign w:val="center"/>
          </w:tcPr>
          <w:p w14:paraId="25E85A5B" w14:textId="535CF170" w:rsidR="00923446" w:rsidRPr="00923446" w:rsidRDefault="00562972" w:rsidP="0092344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Engine trail can be taken in auto/remote/local mode with same preferential order, with mode of trail being taken in logbook.</w:t>
            </w:r>
            <w:r w:rsidR="000221BF" w:rsidRPr="00923446">
              <w:rPr>
                <w:rFonts w:ascii="Arial" w:hAnsi="Arial" w:cs="Arial"/>
                <w:sz w:val="22"/>
                <w:szCs w:val="22"/>
              </w:rPr>
              <w:t xml:space="preserve"> Follow standard starting and stopping procedure of firefighting pump.</w:t>
            </w:r>
          </w:p>
        </w:tc>
        <w:tc>
          <w:tcPr>
            <w:tcW w:w="1137" w:type="pct"/>
          </w:tcPr>
          <w:p w14:paraId="5DDF199E" w14:textId="7FC512E2" w:rsidR="00923446" w:rsidRPr="00923446" w:rsidRDefault="0096614E" w:rsidP="0092344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3446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0221BF" w:rsidRPr="00923446" w14:paraId="4E0D9796" w14:textId="77777777" w:rsidTr="000221BF">
        <w:trPr>
          <w:trHeight w:val="283"/>
        </w:trPr>
        <w:tc>
          <w:tcPr>
            <w:tcW w:w="409" w:type="pct"/>
          </w:tcPr>
          <w:p w14:paraId="3BD5C127" w14:textId="77777777" w:rsidR="000221BF" w:rsidRPr="00923446" w:rsidRDefault="000221BF" w:rsidP="0092344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4" w:type="pct"/>
            <w:vAlign w:val="center"/>
          </w:tcPr>
          <w:p w14:paraId="125FD049" w14:textId="4E4395DB" w:rsidR="000221BF" w:rsidRPr="00923446" w:rsidRDefault="000221BF" w:rsidP="0092344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Opening of recirculation valve to be such that fire fighting pump shall run at their duty point.</w:t>
            </w:r>
          </w:p>
        </w:tc>
        <w:tc>
          <w:tcPr>
            <w:tcW w:w="1137" w:type="pct"/>
          </w:tcPr>
          <w:p w14:paraId="00C62F34" w14:textId="6A668CD4" w:rsidR="000221BF" w:rsidRPr="00923446" w:rsidRDefault="001C6CE8" w:rsidP="0092344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3446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923446" w:rsidRPr="00923446" w14:paraId="125F6248" w14:textId="77777777" w:rsidTr="000221BF">
        <w:trPr>
          <w:trHeight w:val="283"/>
        </w:trPr>
        <w:tc>
          <w:tcPr>
            <w:tcW w:w="409" w:type="pct"/>
          </w:tcPr>
          <w:p w14:paraId="7010B433" w14:textId="77777777" w:rsidR="00923446" w:rsidRPr="00923446" w:rsidRDefault="00923446" w:rsidP="0092344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4" w:type="pct"/>
            <w:vAlign w:val="center"/>
          </w:tcPr>
          <w:p w14:paraId="4BDDF300" w14:textId="26B8220B" w:rsidR="00923446" w:rsidRPr="00923446" w:rsidRDefault="00C64813" w:rsidP="0092344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Fire fighting unit shall be run upon starting and observe all the critical parameters (suction pressure, discharge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pressure, RPM, Lube oil pressure &amp; temp, </w:t>
            </w:r>
            <w:r w:rsidR="00E42C9C">
              <w:rPr>
                <w:rFonts w:ascii="Arial" w:hAnsi="Arial" w:cs="Arial"/>
                <w:color w:val="000000"/>
                <w:sz w:val="22"/>
                <w:szCs w:val="22"/>
              </w:rPr>
              <w:t>coolant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water temp, </w:t>
            </w:r>
            <w:r w:rsidR="00E71132">
              <w:rPr>
                <w:rFonts w:ascii="Arial" w:hAnsi="Arial" w:cs="Arial"/>
                <w:color w:val="000000"/>
                <w:sz w:val="22"/>
                <w:szCs w:val="22"/>
              </w:rPr>
              <w:t xml:space="preserve">water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pressure, leakage, vibration, anomaly if any etc).</w:t>
            </w:r>
          </w:p>
        </w:tc>
        <w:tc>
          <w:tcPr>
            <w:tcW w:w="1137" w:type="pct"/>
          </w:tcPr>
          <w:p w14:paraId="1CC02530" w14:textId="46726276" w:rsidR="00923446" w:rsidRPr="00923446" w:rsidRDefault="0096614E" w:rsidP="0092344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3446">
              <w:rPr>
                <w:rFonts w:ascii="Arial" w:hAnsi="Arial" w:cs="Arial"/>
                <w:sz w:val="22"/>
                <w:szCs w:val="22"/>
              </w:rPr>
              <w:lastRenderedPageBreak/>
              <w:t>-Do-</w:t>
            </w:r>
          </w:p>
        </w:tc>
      </w:tr>
      <w:tr w:rsidR="00093599" w:rsidRPr="00923446" w14:paraId="1B081B65" w14:textId="77777777" w:rsidTr="000221BF">
        <w:trPr>
          <w:trHeight w:val="283"/>
        </w:trPr>
        <w:tc>
          <w:tcPr>
            <w:tcW w:w="409" w:type="pct"/>
          </w:tcPr>
          <w:p w14:paraId="0A5F0401" w14:textId="77777777" w:rsidR="00093599" w:rsidRPr="00923446" w:rsidRDefault="00093599" w:rsidP="0092344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4" w:type="pct"/>
            <w:vAlign w:val="center"/>
          </w:tcPr>
          <w:p w14:paraId="7A29448B" w14:textId="5F3B9C99" w:rsidR="00093599" w:rsidRPr="00923446" w:rsidRDefault="00093599" w:rsidP="00F42C8B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93599">
              <w:rPr>
                <w:rFonts w:ascii="Arial" w:hAnsi="Arial" w:cs="Arial"/>
                <w:sz w:val="22"/>
                <w:szCs w:val="22"/>
              </w:rPr>
              <w:t>Upon successful load trial run, firefighting unit shall be stopped by remote/Manual. Close the recirculation line valve/monitor (as per applicability) and ensure the fire line pressure as per HSE guidelines.</w:t>
            </w:r>
            <w:r w:rsidR="00F42C8B" w:rsidRPr="00F42C8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95950" w:rsidRPr="003A636D">
              <w:rPr>
                <w:rFonts w:ascii="Arial" w:hAnsi="Arial" w:cs="Arial"/>
                <w:sz w:val="22"/>
                <w:szCs w:val="22"/>
              </w:rPr>
              <w:t>Format for trial run of firefighting units to be used</w:t>
            </w:r>
            <w:r w:rsidR="003A636D">
              <w:rPr>
                <w:rFonts w:ascii="Arial" w:hAnsi="Arial" w:cs="Arial"/>
                <w:sz w:val="22"/>
                <w:szCs w:val="22"/>
              </w:rPr>
              <w:t xml:space="preserve"> for data entry &amp; records to be maintained.</w:t>
            </w:r>
          </w:p>
        </w:tc>
        <w:tc>
          <w:tcPr>
            <w:tcW w:w="1137" w:type="pct"/>
          </w:tcPr>
          <w:p w14:paraId="1C3792D1" w14:textId="77777777" w:rsidR="00093599" w:rsidRPr="00923446" w:rsidRDefault="00093599" w:rsidP="0092344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446" w:rsidRPr="00923446" w14:paraId="2261B750" w14:textId="77777777" w:rsidTr="000221BF">
        <w:trPr>
          <w:trHeight w:val="283"/>
        </w:trPr>
        <w:tc>
          <w:tcPr>
            <w:tcW w:w="409" w:type="pct"/>
          </w:tcPr>
          <w:p w14:paraId="4980711E" w14:textId="77777777" w:rsidR="00923446" w:rsidRPr="00923446" w:rsidRDefault="00923446" w:rsidP="0092344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4" w:type="pct"/>
            <w:vAlign w:val="center"/>
          </w:tcPr>
          <w:p w14:paraId="5F80595F" w14:textId="55108EE4" w:rsidR="00923446" w:rsidRPr="00923446" w:rsidRDefault="00923446" w:rsidP="0092344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3446">
              <w:rPr>
                <w:rFonts w:ascii="Arial" w:hAnsi="Arial" w:cs="Arial"/>
                <w:sz w:val="22"/>
                <w:szCs w:val="22"/>
              </w:rPr>
              <w:t>If any abnormality is observed in trail run, it must be immediately brought to notice of maintenance team, fire &amp; safety coordinator and control room telephonically as well as through written / email communication with a copy to SIC</w:t>
            </w:r>
            <w:r w:rsidR="00BF74F0">
              <w:rPr>
                <w:rFonts w:ascii="Arial" w:hAnsi="Arial" w:cs="Arial"/>
                <w:sz w:val="22"/>
                <w:szCs w:val="22"/>
              </w:rPr>
              <w:t xml:space="preserve"> for quick rectification/action.</w:t>
            </w:r>
            <w:r w:rsidRPr="0092344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1137" w:type="pct"/>
          </w:tcPr>
          <w:p w14:paraId="59F18AAB" w14:textId="5B6AA483" w:rsidR="00923446" w:rsidRPr="00923446" w:rsidRDefault="0096614E" w:rsidP="0092344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3446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</w:tbl>
    <w:p w14:paraId="62BCEF73" w14:textId="77777777" w:rsidR="007D05CD" w:rsidRPr="00923446" w:rsidRDefault="007D05CD">
      <w:pPr>
        <w:rPr>
          <w:rFonts w:ascii="Arial" w:hAnsi="Arial" w:cs="Arial"/>
          <w:sz w:val="22"/>
          <w:szCs w:val="22"/>
        </w:rPr>
      </w:pPr>
    </w:p>
    <w:p w14:paraId="3FC9E945" w14:textId="77777777" w:rsidR="007D05CD" w:rsidRPr="00923446" w:rsidRDefault="007D05CD">
      <w:pPr>
        <w:rPr>
          <w:rFonts w:ascii="Arial" w:hAnsi="Arial" w:cs="Arial"/>
          <w:sz w:val="22"/>
          <w:szCs w:val="22"/>
        </w:rPr>
      </w:pPr>
    </w:p>
    <w:p w14:paraId="773BD787" w14:textId="566CDEA9" w:rsidR="008E5DE2" w:rsidRDefault="009A6C7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Note:</w:t>
      </w:r>
    </w:p>
    <w:p w14:paraId="042726C0" w14:textId="6D0654A3" w:rsidR="009A6C74" w:rsidRPr="00A32AB2" w:rsidRDefault="009A6C74" w:rsidP="00A32AB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A32AB2">
        <w:rPr>
          <w:rFonts w:ascii="Arial" w:hAnsi="Arial" w:cs="Arial"/>
          <w:sz w:val="22"/>
          <w:szCs w:val="22"/>
        </w:rPr>
        <w:t>Auto &amp; remote operation checking shall also be done during load trail run and record maintained in report.</w:t>
      </w:r>
    </w:p>
    <w:p w14:paraId="22CA3CE3" w14:textId="20B344DA" w:rsidR="00C44581" w:rsidRDefault="00C44581" w:rsidP="00A32AB2">
      <w:pPr>
        <w:pStyle w:val="ListParagraph"/>
        <w:numPr>
          <w:ilvl w:val="0"/>
          <w:numId w:val="5"/>
        </w:numPr>
        <w:contextualSpacing w:val="0"/>
        <w:jc w:val="both"/>
        <w:rPr>
          <w:rFonts w:ascii="Arial" w:hAnsi="Arial" w:cs="Arial"/>
          <w:sz w:val="22"/>
          <w:szCs w:val="22"/>
        </w:rPr>
      </w:pPr>
      <w:r w:rsidRPr="00A32AB2">
        <w:rPr>
          <w:rFonts w:ascii="Arial" w:hAnsi="Arial" w:cs="Arial"/>
          <w:sz w:val="22"/>
          <w:szCs w:val="22"/>
        </w:rPr>
        <w:t xml:space="preserve">Endurance testing of firefighting units shall be done at least half yearly. </w:t>
      </w:r>
      <w:r w:rsidR="00100B83" w:rsidRPr="00A32AB2">
        <w:rPr>
          <w:rFonts w:ascii="Arial" w:hAnsi="Arial" w:cs="Arial"/>
          <w:sz w:val="22"/>
          <w:szCs w:val="22"/>
        </w:rPr>
        <w:t>Performance testing of firefighting units to be done at least half yearly. To carry out the endurance test</w:t>
      </w:r>
      <w:r w:rsidR="006B3142" w:rsidRPr="00A32AB2">
        <w:rPr>
          <w:rFonts w:ascii="Arial" w:hAnsi="Arial" w:cs="Arial"/>
          <w:sz w:val="22"/>
          <w:szCs w:val="22"/>
        </w:rPr>
        <w:t xml:space="preserve"> &amp; performance test of FFPUs</w:t>
      </w:r>
      <w:r w:rsidR="00100B83" w:rsidRPr="00A32AB2">
        <w:rPr>
          <w:rFonts w:ascii="Arial" w:hAnsi="Arial" w:cs="Arial"/>
          <w:sz w:val="22"/>
          <w:szCs w:val="22"/>
        </w:rPr>
        <w:t>, PLHO SOP No. PL/SOP/MNT/MEC/16 Rev 00 dated 01.02.202</w:t>
      </w:r>
      <w:r w:rsidR="00732A46">
        <w:rPr>
          <w:rFonts w:ascii="Arial" w:hAnsi="Arial" w:cs="Arial"/>
          <w:sz w:val="22"/>
          <w:szCs w:val="22"/>
        </w:rPr>
        <w:t>2</w:t>
      </w:r>
      <w:r w:rsidR="00100B83" w:rsidRPr="00A32AB2">
        <w:rPr>
          <w:rFonts w:ascii="Arial" w:hAnsi="Arial" w:cs="Arial"/>
          <w:sz w:val="22"/>
          <w:szCs w:val="22"/>
        </w:rPr>
        <w:t xml:space="preserve"> to be followed.</w:t>
      </w:r>
      <w:r w:rsidR="00FE2AAC">
        <w:rPr>
          <w:rFonts w:ascii="Arial" w:hAnsi="Arial" w:cs="Arial"/>
          <w:sz w:val="22"/>
          <w:szCs w:val="22"/>
        </w:rPr>
        <w:t xml:space="preserve"> Approved format No. </w:t>
      </w:r>
      <w:r w:rsidR="00FE2AAC" w:rsidRPr="002F3632">
        <w:rPr>
          <w:rFonts w:eastAsia="MS Mincho"/>
          <w:b/>
          <w:bCs/>
        </w:rPr>
        <w:t>PLHO/MNT/M/53</w:t>
      </w:r>
      <w:r w:rsidR="00FE2AAC">
        <w:rPr>
          <w:rFonts w:eastAsia="MS Mincho"/>
          <w:b/>
          <w:bCs/>
        </w:rPr>
        <w:t xml:space="preserve"> &amp; </w:t>
      </w:r>
      <w:r w:rsidR="00FE2AAC" w:rsidRPr="002F3632">
        <w:rPr>
          <w:rFonts w:eastAsia="MS Mincho"/>
          <w:b/>
          <w:bCs/>
        </w:rPr>
        <w:t>PLHO/MNT/M/55</w:t>
      </w:r>
      <w:r w:rsidR="00FE2AAC">
        <w:rPr>
          <w:rFonts w:eastAsia="MS Mincho"/>
          <w:b/>
          <w:bCs/>
        </w:rPr>
        <w:t xml:space="preserve"> </w:t>
      </w:r>
      <w:r w:rsidR="00FE2AAC" w:rsidRPr="00FE2AAC">
        <w:rPr>
          <w:rFonts w:ascii="Arial" w:hAnsi="Arial" w:cs="Arial"/>
          <w:sz w:val="22"/>
          <w:szCs w:val="22"/>
        </w:rPr>
        <w:t>to be used.</w:t>
      </w:r>
    </w:p>
    <w:p w14:paraId="0094C9E3" w14:textId="75CB7DE5" w:rsidR="00FD0036" w:rsidRPr="00FD0036" w:rsidRDefault="00FD0036" w:rsidP="00FD0036">
      <w:pPr>
        <w:pStyle w:val="ListParagraph"/>
        <w:numPr>
          <w:ilvl w:val="0"/>
          <w:numId w:val="5"/>
        </w:numPr>
        <w:contextualSpacing w:val="0"/>
        <w:jc w:val="both"/>
        <w:rPr>
          <w:b/>
          <w:bCs/>
        </w:rPr>
      </w:pPr>
      <w:r w:rsidRPr="002F3632">
        <w:rPr>
          <w:rStyle w:val="List1"/>
        </w:rPr>
        <w:t xml:space="preserve">Safety Requirements: </w:t>
      </w:r>
      <w:r w:rsidRPr="00FD0036">
        <w:rPr>
          <w:rStyle w:val="List1"/>
          <w:b w:val="0"/>
          <w:bCs w:val="0"/>
          <w:u w:val="none"/>
        </w:rPr>
        <w:t xml:space="preserve">Care must be taken while working with tools and piping works specially at height. All personnel involved must use appropriate PPE e.g. </w:t>
      </w:r>
      <w:r>
        <w:rPr>
          <w:rStyle w:val="List1"/>
          <w:b w:val="0"/>
          <w:bCs w:val="0"/>
          <w:u w:val="none"/>
        </w:rPr>
        <w:t xml:space="preserve">Safety </w:t>
      </w:r>
      <w:r w:rsidRPr="00FD0036">
        <w:rPr>
          <w:rStyle w:val="List1"/>
          <w:b w:val="0"/>
          <w:bCs w:val="0"/>
          <w:u w:val="none"/>
        </w:rPr>
        <w:t>Helmet, safety shoes, Gloves</w:t>
      </w:r>
      <w:r>
        <w:rPr>
          <w:rStyle w:val="List1"/>
          <w:b w:val="0"/>
          <w:bCs w:val="0"/>
          <w:u w:val="none"/>
        </w:rPr>
        <w:t xml:space="preserve"> etc </w:t>
      </w:r>
      <w:r w:rsidRPr="00FD0036">
        <w:rPr>
          <w:rStyle w:val="List1"/>
          <w:b w:val="0"/>
          <w:bCs w:val="0"/>
          <w:u w:val="none"/>
        </w:rPr>
        <w:t>as per</w:t>
      </w:r>
      <w:r w:rsidR="00781A63">
        <w:rPr>
          <w:rStyle w:val="List1"/>
          <w:b w:val="0"/>
          <w:bCs w:val="0"/>
          <w:u w:val="none"/>
        </w:rPr>
        <w:t xml:space="preserve"> risk register</w:t>
      </w:r>
      <w:r w:rsidRPr="00FD0036">
        <w:rPr>
          <w:rStyle w:val="List1"/>
          <w:b w:val="0"/>
          <w:bCs w:val="0"/>
          <w:u w:val="none"/>
        </w:rPr>
        <w:t>.</w:t>
      </w:r>
    </w:p>
    <w:p w14:paraId="184B6FF3" w14:textId="77777777" w:rsidR="008E5DE2" w:rsidRPr="00923446" w:rsidRDefault="008E5DE2">
      <w:pPr>
        <w:rPr>
          <w:rFonts w:ascii="Arial" w:hAnsi="Arial" w:cs="Arial"/>
          <w:sz w:val="22"/>
          <w:szCs w:val="22"/>
        </w:rPr>
      </w:pPr>
    </w:p>
    <w:p w14:paraId="5FEBDAB3" w14:textId="77777777" w:rsidR="008E5DE2" w:rsidRPr="00923446" w:rsidRDefault="008E5DE2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38"/>
        <w:gridCol w:w="450"/>
        <w:gridCol w:w="3679"/>
      </w:tblGrid>
      <w:tr w:rsidR="008E5DE2" w:rsidRPr="00923446" w14:paraId="176BC2CB" w14:textId="77777777" w:rsidTr="003F6259">
        <w:tc>
          <w:tcPr>
            <w:tcW w:w="4338" w:type="dxa"/>
            <w:shd w:val="clear" w:color="auto" w:fill="auto"/>
          </w:tcPr>
          <w:p w14:paraId="35AC5E9B" w14:textId="77777777" w:rsidR="008E5DE2" w:rsidRPr="00923446" w:rsidRDefault="008E5DE2" w:rsidP="008E5DE2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3446">
              <w:rPr>
                <w:rFonts w:ascii="Arial" w:hAnsi="Arial" w:cs="Arial"/>
                <w:sz w:val="22"/>
                <w:szCs w:val="22"/>
              </w:rPr>
              <w:t>RECORDS GENERATED</w:t>
            </w:r>
            <w:r w:rsidRPr="00923446">
              <w:rPr>
                <w:rFonts w:ascii="Arial" w:hAnsi="Arial" w:cs="Arial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14:paraId="30B6216C" w14:textId="77777777" w:rsidR="008E5DE2" w:rsidRPr="00923446" w:rsidRDefault="008E5DE2" w:rsidP="008E5DE2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3446">
              <w:rPr>
                <w:rFonts w:ascii="Arial" w:hAnsi="Arial" w:cs="Arial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14:paraId="562D0027" w14:textId="77777777" w:rsidR="008E5DE2" w:rsidRPr="00923446" w:rsidRDefault="008E5DE2" w:rsidP="008E5DE2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3446">
              <w:rPr>
                <w:rFonts w:ascii="Arial" w:hAnsi="Arial" w:cs="Arial"/>
                <w:sz w:val="22"/>
                <w:szCs w:val="22"/>
              </w:rPr>
              <w:t>SHIFT LOGBOOK SHEET</w:t>
            </w:r>
          </w:p>
        </w:tc>
      </w:tr>
      <w:tr w:rsidR="008E5DE2" w:rsidRPr="00923446" w14:paraId="51DBE2FC" w14:textId="77777777" w:rsidTr="003F6259">
        <w:tc>
          <w:tcPr>
            <w:tcW w:w="4338" w:type="dxa"/>
            <w:shd w:val="clear" w:color="auto" w:fill="auto"/>
          </w:tcPr>
          <w:p w14:paraId="1C1CAB6F" w14:textId="77777777" w:rsidR="008E5DE2" w:rsidRPr="00923446" w:rsidRDefault="008E5DE2" w:rsidP="008E5DE2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12E971F5" w14:textId="77777777" w:rsidR="008E5DE2" w:rsidRPr="00923446" w:rsidRDefault="008E5DE2" w:rsidP="008E5DE2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3446">
              <w:rPr>
                <w:rFonts w:ascii="Arial" w:hAnsi="Arial" w:cs="Arial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14:paraId="20C57310" w14:textId="77777777" w:rsidR="008E5DE2" w:rsidRPr="00923446" w:rsidRDefault="008E5DE2" w:rsidP="008E5DE2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23446">
              <w:rPr>
                <w:rFonts w:ascii="Arial" w:hAnsi="Arial" w:cs="Arial"/>
                <w:sz w:val="22"/>
                <w:szCs w:val="22"/>
              </w:rPr>
              <w:t xml:space="preserve">SHIFT HANDING OVER REGISTER </w:t>
            </w:r>
          </w:p>
        </w:tc>
      </w:tr>
      <w:tr w:rsidR="008E5DE2" w:rsidRPr="00923446" w14:paraId="78F55A43" w14:textId="77777777" w:rsidTr="003F6259">
        <w:tc>
          <w:tcPr>
            <w:tcW w:w="4338" w:type="dxa"/>
            <w:shd w:val="clear" w:color="auto" w:fill="auto"/>
          </w:tcPr>
          <w:p w14:paraId="7B9FC3E5" w14:textId="77777777" w:rsidR="008E5DE2" w:rsidRPr="00923446" w:rsidRDefault="008E5DE2" w:rsidP="008E5DE2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3B2B2D0A" w14:textId="77777777" w:rsidR="008E5DE2" w:rsidRPr="00923446" w:rsidRDefault="008E5DE2" w:rsidP="008E5DE2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14:paraId="026BB46D" w14:textId="77777777" w:rsidR="008E5DE2" w:rsidRPr="00923446" w:rsidRDefault="008E5DE2" w:rsidP="008E5DE2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72F776" w14:textId="77777777" w:rsidR="008E5DE2" w:rsidRPr="00923446" w:rsidRDefault="008E5DE2" w:rsidP="008E5DE2">
      <w:pPr>
        <w:pStyle w:val="Default"/>
        <w:jc w:val="both"/>
        <w:rPr>
          <w:rFonts w:ascii="Arial" w:hAnsi="Arial" w:cs="Arial"/>
          <w:sz w:val="22"/>
          <w:szCs w:val="22"/>
        </w:rPr>
      </w:pPr>
    </w:p>
    <w:sectPr w:rsidR="008E5DE2" w:rsidRPr="0092344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43381" w14:textId="77777777" w:rsidR="0025246A" w:rsidRDefault="0025246A" w:rsidP="008E5DE2">
      <w:r>
        <w:separator/>
      </w:r>
    </w:p>
  </w:endnote>
  <w:endnote w:type="continuationSeparator" w:id="0">
    <w:p w14:paraId="205CEC96" w14:textId="77777777" w:rsidR="0025246A" w:rsidRDefault="0025246A" w:rsidP="008E5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504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02"/>
      <w:gridCol w:w="3220"/>
      <w:gridCol w:w="3303"/>
    </w:tblGrid>
    <w:tr w:rsidR="008E5DE2" w:rsidRPr="008E5DE2" w14:paraId="6336FABB" w14:textId="77777777" w:rsidTr="007D05CD">
      <w:trPr>
        <w:trHeight w:hRule="exact" w:val="1718"/>
      </w:trPr>
      <w:tc>
        <w:tcPr>
          <w:tcW w:w="17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1F27117" w14:textId="590D7225"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Prepared By:</w:t>
          </w:r>
        </w:p>
        <w:p w14:paraId="1D505A44" w14:textId="73E0EC5A"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b/>
              <w:bCs/>
              <w:sz w:val="20"/>
              <w:szCs w:val="20"/>
            </w:rPr>
            <w:t>Committee Members</w:t>
          </w:r>
        </w:p>
        <w:p w14:paraId="612AC08F" w14:textId="77777777"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224"/>
            <w:gridCol w:w="962"/>
          </w:tblGrid>
          <w:tr w:rsidR="007D05CD" w:rsidRPr="007D05CD" w14:paraId="4C8BAB63" w14:textId="77777777" w:rsidTr="007D05CD">
            <w:tc>
              <w:tcPr>
                <w:tcW w:w="2281" w:type="dxa"/>
              </w:tcPr>
              <w:p w14:paraId="0E9790BA" w14:textId="0F491388"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 Kumar </w:t>
                </w:r>
              </w:p>
            </w:tc>
            <w:tc>
              <w:tcPr>
                <w:tcW w:w="976" w:type="dxa"/>
              </w:tcPr>
              <w:p w14:paraId="6797FB2C" w14:textId="16B74119"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(HSE)</w:t>
                </w:r>
              </w:p>
            </w:tc>
          </w:tr>
          <w:tr w:rsidR="007D05CD" w:rsidRPr="007D05CD" w14:paraId="2D7D6450" w14:textId="77777777" w:rsidTr="007D05CD">
            <w:tc>
              <w:tcPr>
                <w:tcW w:w="2281" w:type="dxa"/>
              </w:tcPr>
              <w:p w14:paraId="253ADE17" w14:textId="01842469"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Kundan, </w:t>
                </w:r>
              </w:p>
            </w:tc>
            <w:tc>
              <w:tcPr>
                <w:tcW w:w="976" w:type="dxa"/>
              </w:tcPr>
              <w:p w14:paraId="5E66EC20" w14:textId="18157E3A"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  <w:tr w:rsidR="007D05CD" w:rsidRPr="007D05CD" w14:paraId="142E02A2" w14:textId="77777777" w:rsidTr="007D05CD">
            <w:tc>
              <w:tcPr>
                <w:tcW w:w="2281" w:type="dxa"/>
              </w:tcPr>
              <w:p w14:paraId="3E7E1EFD" w14:textId="6DB11C6C"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Aman Anand</w:t>
                </w:r>
              </w:p>
            </w:tc>
            <w:tc>
              <w:tcPr>
                <w:tcW w:w="976" w:type="dxa"/>
              </w:tcPr>
              <w:p w14:paraId="0777A628" w14:textId="6ED33565"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(T&amp;I)</w:t>
                </w:r>
              </w:p>
            </w:tc>
          </w:tr>
          <w:tr w:rsidR="007D05CD" w:rsidRPr="007D05CD" w14:paraId="3829C2BD" w14:textId="77777777" w:rsidTr="007D05CD">
            <w:tc>
              <w:tcPr>
                <w:tcW w:w="2281" w:type="dxa"/>
              </w:tcPr>
              <w:p w14:paraId="4427B9DF" w14:textId="3E9C475B"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Kushank Mehendi Ratta</w:t>
                </w:r>
              </w:p>
            </w:tc>
            <w:tc>
              <w:tcPr>
                <w:tcW w:w="976" w:type="dxa"/>
              </w:tcPr>
              <w:p w14:paraId="4312829E" w14:textId="1E497B4A"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</w:tbl>
        <w:p w14:paraId="32AB4DE2" w14:textId="77777777" w:rsid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14:paraId="7DB92331" w14:textId="77777777" w:rsidR="007D05CD" w:rsidRP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14:paraId="52411ED4" w14:textId="3955C27F" w:rsidR="008E5DE2" w:rsidRPr="008E5DE2" w:rsidRDefault="008E5DE2" w:rsidP="008E5DE2">
          <w:pPr>
            <w:pStyle w:val="Foo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7489F28" w14:textId="77777777" w:rsid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b/>
              <w:bCs/>
              <w:sz w:val="20"/>
              <w:szCs w:val="20"/>
            </w:rPr>
            <w:t>Reviewed By:</w:t>
          </w:r>
        </w:p>
        <w:p w14:paraId="29794B09" w14:textId="77777777"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14:paraId="05B0634B" w14:textId="77777777"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14:paraId="6CA0D97A" w14:textId="58A74E45"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Amit Jain, DGM (O)</w:t>
          </w:r>
        </w:p>
        <w:p w14:paraId="175114DA" w14:textId="579FDA71"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Meghanand Sah, COM</w:t>
          </w:r>
        </w:p>
        <w:p w14:paraId="7C9911E9" w14:textId="77777777"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14:paraId="291F83EA" w14:textId="6923AF67"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6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91467D9" w14:textId="7CCBB4C1"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Approved By:</w:t>
          </w:r>
        </w:p>
        <w:p w14:paraId="1BA2F6A4" w14:textId="77777777"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14:paraId="0E64085D" w14:textId="77777777"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14:paraId="5ECB3E30" w14:textId="0EDC334A"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sz w:val="20"/>
              <w:szCs w:val="20"/>
            </w:rPr>
            <w:t>Randhir Kumar, Unit Head</w:t>
          </w:r>
        </w:p>
        <w:p w14:paraId="297A6A06" w14:textId="77777777"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14:paraId="3814D470" w14:textId="77777777"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14:paraId="7C97B63B" w14:textId="1C99B6C1" w:rsidR="008E5DE2" w:rsidRP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</w:tbl>
  <w:p w14:paraId="228E284F" w14:textId="77777777" w:rsidR="008E5DE2" w:rsidRDefault="008E5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2BF4D" w14:textId="77777777" w:rsidR="0025246A" w:rsidRDefault="0025246A" w:rsidP="008E5DE2">
      <w:r>
        <w:separator/>
      </w:r>
    </w:p>
  </w:footnote>
  <w:footnote w:type="continuationSeparator" w:id="0">
    <w:p w14:paraId="63421BEA" w14:textId="77777777" w:rsidR="0025246A" w:rsidRDefault="0025246A" w:rsidP="008E5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52"/>
      <w:gridCol w:w="5431"/>
      <w:gridCol w:w="2333"/>
    </w:tblGrid>
    <w:tr w:rsidR="008E5DE2" w:rsidRPr="007D05CD" w14:paraId="424E79D2" w14:textId="48027E17" w:rsidTr="007D05CD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43684D85" w14:textId="45F636B3" w:rsidR="008E5DE2" w:rsidRP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 w:val="22"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7456" behindDoc="0" locked="0" layoutInCell="1" allowOverlap="1" wp14:anchorId="11B76347" wp14:editId="1EE80435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72C009" w14:textId="4E5C8955"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INDIAN OIL CORPORATION LIMITED</w:t>
          </w:r>
        </w:p>
        <w:p w14:paraId="3F42869F" w14:textId="29512B82" w:rsidR="00AF0B8E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EASTERN REGION PIPELINES</w:t>
          </w:r>
        </w:p>
        <w:p w14:paraId="40D18E57" w14:textId="5A2B03ED"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398D2A4" w14:textId="0FFB108B" w:rsid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PHBMPL/OPN/SOP/</w:t>
          </w:r>
          <w:r w:rsidR="00923446">
            <w:rPr>
              <w:rFonts w:asciiTheme="minorHAnsi" w:hAnsiTheme="minorHAnsi" w:cstheme="minorHAnsi"/>
              <w:b/>
              <w:bCs/>
              <w:sz w:val="22"/>
              <w:szCs w:val="22"/>
            </w:rPr>
            <w:t>21</w:t>
          </w:r>
        </w:p>
        <w:p w14:paraId="6EC9C23A" w14:textId="77777777"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</w:p>
        <w:p w14:paraId="22AC1040" w14:textId="7DF0CAD2"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8E5DE2" w:rsidRPr="007D05CD" w14:paraId="1B23F749" w14:textId="3DF81D33" w:rsidTr="007D05CD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E972D7" w14:textId="77777777"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sz w:val="22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E75E92" w14:textId="07BB05AC" w:rsidR="008E5DE2" w:rsidRPr="007D05CD" w:rsidRDefault="00E12DFC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0CDCD1" w14:textId="77777777"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</w:t>
          </w:r>
          <w:r w:rsidR="007D05CD"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:</w:t>
          </w:r>
        </w:p>
        <w:p w14:paraId="7284FEF9" w14:textId="62C3DC61"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</w:p>
      </w:tc>
    </w:tr>
  </w:tbl>
  <w:p w14:paraId="5F645004" w14:textId="77777777"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047B"/>
    <w:multiLevelType w:val="hybridMultilevel"/>
    <w:tmpl w:val="A226095C"/>
    <w:lvl w:ilvl="0" w:tplc="40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D17610D"/>
    <w:multiLevelType w:val="hybridMultilevel"/>
    <w:tmpl w:val="76E25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60591"/>
    <w:multiLevelType w:val="hybridMultilevel"/>
    <w:tmpl w:val="68E0FA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035FE"/>
    <w:multiLevelType w:val="hybridMultilevel"/>
    <w:tmpl w:val="0BA87D40"/>
    <w:lvl w:ilvl="0" w:tplc="4009001B">
      <w:start w:val="1"/>
      <w:numFmt w:val="lowerRoman"/>
      <w:lvlText w:val="%1."/>
      <w:lvlJc w:val="right"/>
      <w:pPr>
        <w:ind w:left="37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num w:numId="1" w16cid:durableId="1556819207">
    <w:abstractNumId w:val="3"/>
  </w:num>
  <w:num w:numId="2" w16cid:durableId="127936873">
    <w:abstractNumId w:val="2"/>
  </w:num>
  <w:num w:numId="3" w16cid:durableId="177275942">
    <w:abstractNumId w:val="5"/>
  </w:num>
  <w:num w:numId="4" w16cid:durableId="1407411895">
    <w:abstractNumId w:val="0"/>
  </w:num>
  <w:num w:numId="5" w16cid:durableId="1320770680">
    <w:abstractNumId w:val="4"/>
  </w:num>
  <w:num w:numId="6" w16cid:durableId="103306198">
    <w:abstractNumId w:val="6"/>
  </w:num>
  <w:num w:numId="7" w16cid:durableId="948898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E2"/>
    <w:rsid w:val="000166AE"/>
    <w:rsid w:val="000221BF"/>
    <w:rsid w:val="00093599"/>
    <w:rsid w:val="000D6A85"/>
    <w:rsid w:val="00100B83"/>
    <w:rsid w:val="0010612E"/>
    <w:rsid w:val="00127D6A"/>
    <w:rsid w:val="0016782C"/>
    <w:rsid w:val="001C6CE8"/>
    <w:rsid w:val="00220312"/>
    <w:rsid w:val="0025246A"/>
    <w:rsid w:val="0031782F"/>
    <w:rsid w:val="00337D09"/>
    <w:rsid w:val="00340F3F"/>
    <w:rsid w:val="00371D4A"/>
    <w:rsid w:val="003A3D39"/>
    <w:rsid w:val="003A636D"/>
    <w:rsid w:val="003A756D"/>
    <w:rsid w:val="003F05CF"/>
    <w:rsid w:val="003F28F1"/>
    <w:rsid w:val="004029D3"/>
    <w:rsid w:val="004038E8"/>
    <w:rsid w:val="00474307"/>
    <w:rsid w:val="00495950"/>
    <w:rsid w:val="005409BC"/>
    <w:rsid w:val="00562972"/>
    <w:rsid w:val="005B7714"/>
    <w:rsid w:val="005F12CA"/>
    <w:rsid w:val="006B3142"/>
    <w:rsid w:val="006D4A1E"/>
    <w:rsid w:val="0073149E"/>
    <w:rsid w:val="00732A46"/>
    <w:rsid w:val="00781A63"/>
    <w:rsid w:val="007D05CD"/>
    <w:rsid w:val="007D626E"/>
    <w:rsid w:val="007E43A4"/>
    <w:rsid w:val="008903EC"/>
    <w:rsid w:val="008C0503"/>
    <w:rsid w:val="008E5DE2"/>
    <w:rsid w:val="008F6875"/>
    <w:rsid w:val="00920073"/>
    <w:rsid w:val="00923446"/>
    <w:rsid w:val="00931946"/>
    <w:rsid w:val="0095417F"/>
    <w:rsid w:val="0096614E"/>
    <w:rsid w:val="00990C3B"/>
    <w:rsid w:val="009A295F"/>
    <w:rsid w:val="009A6C74"/>
    <w:rsid w:val="00A11A41"/>
    <w:rsid w:val="00A32AB2"/>
    <w:rsid w:val="00A366A9"/>
    <w:rsid w:val="00A5300A"/>
    <w:rsid w:val="00AF0B8E"/>
    <w:rsid w:val="00B557B4"/>
    <w:rsid w:val="00B7008C"/>
    <w:rsid w:val="00BA58D5"/>
    <w:rsid w:val="00BA6591"/>
    <w:rsid w:val="00BF74F0"/>
    <w:rsid w:val="00C005F5"/>
    <w:rsid w:val="00C415ED"/>
    <w:rsid w:val="00C44581"/>
    <w:rsid w:val="00C64813"/>
    <w:rsid w:val="00C8576E"/>
    <w:rsid w:val="00CC5008"/>
    <w:rsid w:val="00CC71D6"/>
    <w:rsid w:val="00D05FF3"/>
    <w:rsid w:val="00D311A8"/>
    <w:rsid w:val="00E12DFC"/>
    <w:rsid w:val="00E42C9C"/>
    <w:rsid w:val="00E71132"/>
    <w:rsid w:val="00E75DD8"/>
    <w:rsid w:val="00EF301D"/>
    <w:rsid w:val="00F348B8"/>
    <w:rsid w:val="00F42C8B"/>
    <w:rsid w:val="00F51CD3"/>
    <w:rsid w:val="00F86A95"/>
    <w:rsid w:val="00FD0036"/>
    <w:rsid w:val="00FD13B3"/>
    <w:rsid w:val="00FD711D"/>
    <w:rsid w:val="00FE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C1C00"/>
  <w15:chartTrackingRefBased/>
  <w15:docId w15:val="{7EE00190-ADC3-401C-924E-BE23BF21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D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093599"/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character" w:customStyle="1" w:styleId="List1">
    <w:name w:val="List 1"/>
    <w:basedOn w:val="DefaultParagraphFont"/>
    <w:rsid w:val="00495950"/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KUNDAN (कुंदन)</cp:lastModifiedBy>
  <cp:revision>408</cp:revision>
  <dcterms:created xsi:type="dcterms:W3CDTF">2024-10-09T09:32:00Z</dcterms:created>
  <dcterms:modified xsi:type="dcterms:W3CDTF">2024-10-22T03:22:00Z</dcterms:modified>
</cp:coreProperties>
</file>