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60"/>
        </w:rPr>
        <w:t>Computer-Use Automation System</w:t>
      </w:r>
    </w:p>
    <w:p>
      <w:pPr>
        <w:jc w:val="center"/>
      </w:pPr>
      <w:r>
        <w:rPr>
          <w:color w:val="2F5597"/>
          <w:sz w:val="32"/>
        </w:rPr>
        <w:t>Technical Documentation &amp; Submission Runbook</w:t>
      </w:r>
    </w:p>
    <w:p>
      <w:pPr>
        <w:spacing w:before="360"/>
        <w:jc w:val="center"/>
      </w:pPr>
      <w:r>
        <w:rPr>
          <w:b/>
          <w:sz w:val="24"/>
        </w:rPr>
        <w:t>Candidate: Raja Mohan Koushik Dontikurthi</w:t>
      </w:r>
    </w:p>
    <w:p>
      <w:pPr>
        <w:jc w:val="center"/>
      </w:pPr>
      <w:r>
        <w:rPr>
          <w:i/>
        </w:rPr>
        <w:t>Take-home project for interface.ai Engineering</w:t>
      </w:r>
    </w:p>
    <w:p>
      <w:pPr>
        <w:spacing w:before="560"/>
      </w:pPr>
    </w:p>
    <w:tbl>
      <w:tblPr>
        <w:tblW w:type="auto" w:w="0"/>
        <w:jc w:val="center"/>
        <w:tblLayout w:type="fixed"/>
        <w:tblLook w:firstColumn="1" w:firstRow="1" w:lastColumn="0" w:lastRow="0" w:noHBand="0" w:noVBand="1" w:val="04A0"/>
      </w:tblPr>
      <w:tblGrid>
        <w:gridCol w:w="3360"/>
        <w:gridCol w:w="3360"/>
        <w:gridCol w:w="3360"/>
      </w:tblGrid>
      <w:tr>
        <w:tc>
          <w:tcPr>
            <w:tcW w:type="dxa" w:w="3240"/>
            <w:vAlign w:val="center"/>
            <w:tcMar>
              <w:top w:w="160" w:type="dxa"/>
              <w:start w:w="130" w:type="dxa"/>
              <w:bottom w:w="160" w:type="dxa"/>
              <w:end w:w="130" w:type="dxa"/>
            </w:tcMar>
            <w:shd w:fill="EAF0F8"/>
          </w:tcPr>
          <w:p>
            <w:pPr>
              <w:spacing w:after="20" w:line="240" w:lineRule="auto"/>
              <w:jc w:val="center"/>
            </w:pPr>
            <w:r>
              <w:rPr>
                <w:b/>
                <w:color w:val="17365D"/>
              </w:rPr>
              <w:t>Python + FastAPI</w:t>
              <w:br/>
            </w:r>
            <w:r>
              <w:rPr>
                <w:sz w:val="17"/>
              </w:rPr>
              <w:t>Backend and local proxy</w:t>
            </w:r>
          </w:p>
        </w:tc>
        <w:tc>
          <w:tcPr>
            <w:tcW w:type="dxa" w:w="3240"/>
            <w:vAlign w:val="center"/>
            <w:tcMar>
              <w:top w:w="160" w:type="dxa"/>
              <w:start w:w="130" w:type="dxa"/>
              <w:bottom w:w="160" w:type="dxa"/>
              <w:end w:w="130" w:type="dxa"/>
            </w:tcMar>
            <w:shd w:fill="EAF0F8"/>
          </w:tcPr>
          <w:p>
            <w:pPr>
              <w:spacing w:after="20" w:line="240" w:lineRule="auto"/>
              <w:jc w:val="center"/>
            </w:pPr>
            <w:r>
              <w:rPr>
                <w:b/>
                <w:color w:val="17365D"/>
              </w:rPr>
              <w:t>AWS Bedrock + Claude</w:t>
              <w:br/>
            </w:r>
            <w:r>
              <w:rPr>
                <w:sz w:val="17"/>
              </w:rPr>
              <w:t>LLM discovery planner</w:t>
            </w:r>
          </w:p>
        </w:tc>
        <w:tc>
          <w:tcPr>
            <w:tcW w:type="dxa" w:w="3240"/>
            <w:vAlign w:val="center"/>
            <w:tcMar>
              <w:top w:w="160" w:type="dxa"/>
              <w:start w:w="130" w:type="dxa"/>
              <w:bottom w:w="160" w:type="dxa"/>
              <w:end w:w="130" w:type="dxa"/>
            </w:tcMar>
            <w:shd w:fill="EAF0F8"/>
          </w:tcPr>
          <w:p>
            <w:pPr>
              <w:spacing w:after="20" w:line="240" w:lineRule="auto"/>
              <w:jc w:val="center"/>
            </w:pPr>
            <w:r>
              <w:rPr>
                <w:b/>
                <w:color w:val="17365D"/>
              </w:rPr>
              <w:t>Playwright</w:t>
              <w:br/>
            </w:r>
            <w:r>
              <w:rPr>
                <w:sz w:val="17"/>
              </w:rPr>
              <w:t>Live browser computer-use</w:t>
            </w:r>
          </w:p>
        </w:tc>
      </w:tr>
      <w:tr>
        <w:tc>
          <w:tcPr>
            <w:tcW w:type="dxa" w:w="3240"/>
            <w:vAlign w:val="center"/>
            <w:tcMar>
              <w:top w:w="160" w:type="dxa"/>
              <w:start w:w="130" w:type="dxa"/>
              <w:bottom w:w="160" w:type="dxa"/>
              <w:end w:w="130" w:type="dxa"/>
            </w:tcMar>
            <w:shd w:fill="EAF0F8"/>
          </w:tcPr>
          <w:p>
            <w:pPr>
              <w:spacing w:after="20" w:line="240" w:lineRule="auto"/>
              <w:jc w:val="center"/>
            </w:pPr>
            <w:r>
              <w:rPr>
                <w:b/>
                <w:color w:val="17365D"/>
              </w:rPr>
              <w:t>Pydantic</w:t>
              <w:br/>
            </w:r>
            <w:r>
              <w:rPr>
                <w:sz w:val="17"/>
              </w:rPr>
              <w:t>Typed capability contract</w:t>
            </w:r>
          </w:p>
        </w:tc>
        <w:tc>
          <w:tcPr>
            <w:tcW w:type="dxa" w:w="3240"/>
            <w:vAlign w:val="center"/>
            <w:tcMar>
              <w:top w:w="160" w:type="dxa"/>
              <w:start w:w="130" w:type="dxa"/>
              <w:bottom w:w="160" w:type="dxa"/>
              <w:end w:w="130" w:type="dxa"/>
            </w:tcMar>
            <w:shd w:fill="EAF0F8"/>
          </w:tcPr>
          <w:p>
            <w:pPr>
              <w:spacing w:after="20" w:line="240" w:lineRule="auto"/>
              <w:jc w:val="center"/>
            </w:pPr>
            <w:r>
              <w:rPr>
                <w:b/>
                <w:color w:val="17365D"/>
              </w:rPr>
              <w:t>Docker</w:t>
              <w:br/>
            </w:r>
            <w:r>
              <w:rPr>
                <w:sz w:val="17"/>
              </w:rPr>
              <w:t>Portable execution</w:t>
            </w:r>
          </w:p>
        </w:tc>
        <w:tc>
          <w:tcPr>
            <w:tcW w:type="dxa" w:w="3240"/>
            <w:vAlign w:val="center"/>
            <w:tcMar>
              <w:top w:w="160" w:type="dxa"/>
              <w:start w:w="130" w:type="dxa"/>
              <w:bottom w:w="160" w:type="dxa"/>
              <w:end w:w="130" w:type="dxa"/>
            </w:tcMar>
            <w:shd w:fill="EAF0F8"/>
          </w:tcPr>
          <w:p>
            <w:pPr>
              <w:spacing w:after="20" w:line="240" w:lineRule="auto"/>
              <w:jc w:val="center"/>
            </w:pPr>
            <w:r>
              <w:rPr>
                <w:b/>
                <w:color w:val="17365D"/>
              </w:rPr>
              <w:t>Pytest</w:t>
              <w:br/>
            </w:r>
            <w:r>
              <w:rPr>
                <w:sz w:val="17"/>
              </w:rPr>
              <w:t>Core contract validation</w:t>
            </w:r>
          </w:p>
        </w:tc>
      </w:tr>
    </w:tbl>
    <w:p/>
    <w:p>
      <w:pPr>
        <w:jc w:val="center"/>
      </w:pPr>
      <w:r>
        <w:rPr>
          <w:color w:val="6E6E6E"/>
          <w:sz w:val="18"/>
        </w:rPr>
        <w:t>Version 1.0  |  September 2026</w:t>
      </w:r>
    </w:p>
    <w:p>
      <w:r>
        <w:br w:type="page"/>
      </w:r>
    </w:p>
    <w:p>
      <w:pPr>
        <w:pStyle w:val="Heading1"/>
      </w:pPr>
      <w:r>
        <w:t>1. Solution Overview</w:t>
      </w:r>
    </w:p>
    <w:p>
      <w:r>
        <w:t>This project implements the full production idea as a focused vertical slice: an LLM first discovers how to complete a task in a real UI, the successful run is converted into a typed reusable capability artifact, and later invocations replay that artifact deterministically without an LLM in the decision loop.</w:t>
      </w:r>
    </w:p>
    <w:p>
      <w:pPr>
        <w:pStyle w:val="Heading2"/>
      </w:pPr>
      <w:r>
        <w:t>Technology alignment</w:t>
      </w:r>
    </w:p>
    <w:p>
      <w:r>
        <w:t>The implementation deliberately uses technologies that match the candidate's resume: Python, FastAPI, AWS, Anthropic Claude via Bedrock, Docker, typed backend models, and distributed-system style boundaries. Playwright is added as the specialized computer-use layer because the assignment requires interaction with a live application surface.</w:t>
      </w:r>
    </w:p>
    <w:p>
      <w:pPr>
        <w:spacing w:before="160"/>
      </w:pP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930"/>
            <w:vAlign w:val="center"/>
            <w:tcMar>
              <w:top w:w="180" w:type="dxa"/>
              <w:start w:w="80" w:type="dxa"/>
              <w:bottom w:w="180" w:type="dxa"/>
              <w:end w:w="80" w:type="dxa"/>
            </w:tcMar>
            <w:shd w:fill="D9E7F5"/>
          </w:tcPr>
          <w:p>
            <w:pPr>
              <w:spacing w:after="20" w:line="240" w:lineRule="auto"/>
              <w:jc w:val="center"/>
            </w:pPr>
            <w:r>
              <w:rPr>
                <w:b/>
                <w:color w:val="2F5597"/>
                <w:sz w:val="28"/>
              </w:rPr>
              <w:t>1</w:t>
              <w:br/>
            </w:r>
            <w:r>
              <w:rPr>
                <w:b/>
                <w:sz w:val="17"/>
              </w:rPr>
              <w:t>Goal + Inputs</w:t>
            </w:r>
          </w:p>
        </w:tc>
        <w:tc>
          <w:tcPr>
            <w:tcW w:type="dxa" w:w="1930"/>
            <w:vAlign w:val="center"/>
            <w:tcMar>
              <w:top w:w="180" w:type="dxa"/>
              <w:start w:w="80" w:type="dxa"/>
              <w:bottom w:w="180" w:type="dxa"/>
              <w:end w:w="80" w:type="dxa"/>
            </w:tcMar>
            <w:shd w:fill="EDF3F9"/>
          </w:tcPr>
          <w:p>
            <w:pPr>
              <w:spacing w:after="20" w:line="240" w:lineRule="auto"/>
              <w:jc w:val="center"/>
            </w:pPr>
            <w:r>
              <w:rPr>
                <w:b/>
                <w:color w:val="2F5597"/>
                <w:sz w:val="28"/>
              </w:rPr>
              <w:t>2</w:t>
              <w:br/>
            </w:r>
            <w:r>
              <w:rPr>
                <w:b/>
                <w:sz w:val="17"/>
              </w:rPr>
              <w:t>LLM Discovery</w:t>
            </w:r>
          </w:p>
        </w:tc>
        <w:tc>
          <w:tcPr>
            <w:tcW w:type="dxa" w:w="1930"/>
            <w:vAlign w:val="center"/>
            <w:tcMar>
              <w:top w:w="180" w:type="dxa"/>
              <w:start w:w="80" w:type="dxa"/>
              <w:bottom w:w="180" w:type="dxa"/>
              <w:end w:w="80" w:type="dxa"/>
            </w:tcMar>
            <w:shd w:fill="D9E7F5"/>
          </w:tcPr>
          <w:p>
            <w:pPr>
              <w:spacing w:after="20" w:line="240" w:lineRule="auto"/>
              <w:jc w:val="center"/>
            </w:pPr>
            <w:r>
              <w:rPr>
                <w:b/>
                <w:color w:val="2F5597"/>
                <w:sz w:val="28"/>
              </w:rPr>
              <w:t>3</w:t>
              <w:br/>
            </w:r>
            <w:r>
              <w:rPr>
                <w:b/>
                <w:sz w:val="17"/>
              </w:rPr>
              <w:t>Capability JSON</w:t>
            </w:r>
          </w:p>
        </w:tc>
        <w:tc>
          <w:tcPr>
            <w:tcW w:type="dxa" w:w="1930"/>
            <w:vAlign w:val="center"/>
            <w:tcMar>
              <w:top w:w="180" w:type="dxa"/>
              <w:start w:w="80" w:type="dxa"/>
              <w:bottom w:w="180" w:type="dxa"/>
              <w:end w:w="80" w:type="dxa"/>
            </w:tcMar>
            <w:shd w:fill="EDF3F9"/>
          </w:tcPr>
          <w:p>
            <w:pPr>
              <w:spacing w:after="20" w:line="240" w:lineRule="auto"/>
              <w:jc w:val="center"/>
            </w:pPr>
            <w:r>
              <w:rPr>
                <w:b/>
                <w:color w:val="2F5597"/>
                <w:sz w:val="28"/>
              </w:rPr>
              <w:t>4</w:t>
              <w:br/>
            </w:r>
            <w:r>
              <w:rPr>
                <w:b/>
                <w:sz w:val="17"/>
              </w:rPr>
              <w:t>Deterministic Replay</w:t>
            </w:r>
          </w:p>
        </w:tc>
        <w:tc>
          <w:tcPr>
            <w:tcW w:type="dxa" w:w="1930"/>
            <w:vAlign w:val="center"/>
            <w:tcMar>
              <w:top w:w="180" w:type="dxa"/>
              <w:start w:w="80" w:type="dxa"/>
              <w:bottom w:w="180" w:type="dxa"/>
              <w:end w:w="80" w:type="dxa"/>
            </w:tcMar>
            <w:shd w:fill="D9E7F5"/>
          </w:tcPr>
          <w:p>
            <w:pPr>
              <w:spacing w:after="20" w:line="240" w:lineRule="auto"/>
              <w:jc w:val="center"/>
            </w:pPr>
            <w:r>
              <w:rPr>
                <w:b/>
                <w:color w:val="2F5597"/>
                <w:sz w:val="28"/>
              </w:rPr>
              <w:t>5</w:t>
              <w:br/>
            </w:r>
            <w:r>
              <w:rPr>
                <w:b/>
                <w:sz w:val="17"/>
              </w:rPr>
              <w:t>Result / Handoff</w:t>
            </w:r>
          </w:p>
        </w:tc>
      </w:tr>
    </w:tbl>
    <w:p>
      <w:pPr>
        <w:pStyle w:val="ListBullet"/>
        <w:spacing w:after="80"/>
      </w:pPr>
      <w:r>
        <w:t>Surface abstraction: Playwright is behind a small interface so browser-specific behavior does not leak into the artifact schema.</w:t>
      </w:r>
    </w:p>
    <w:p>
      <w:pPr>
        <w:pStyle w:val="ListBullet"/>
        <w:spacing w:after="80"/>
      </w:pPr>
      <w:r>
        <w:t>Discovery path: Claude receives a compact observation and returns one structured next action. Every action is policy-checked before execution.</w:t>
      </w:r>
    </w:p>
    <w:p>
      <w:pPr>
        <w:pStyle w:val="ListBullet"/>
        <w:spacing w:after="80"/>
      </w:pPr>
      <w:r>
        <w:t>Production path: replay uses only the saved artifact, runtime inputs, fixed locator fallback order, bounded retries, and an explicit success checkpoint.</w:t>
      </w:r>
    </w:p>
    <w:p>
      <w:pPr>
        <w:pStyle w:val="ListBullet"/>
        <w:spacing w:after="80"/>
      </w:pPr>
      <w:r>
        <w:t>Human path: when automation is blocked or an action is risky, ownership of the same Playwright page is transferred to an operator API and can later return to automation.</w:t>
      </w:r>
    </w:p>
    <w:p>
      <w:pPr>
        <w:pStyle w:val="Heading2"/>
      </w:pPr>
      <w:r>
        <w:t>Concrete demo task</w:t>
      </w:r>
    </w:p>
    <w:p>
      <w:r>
        <w:t>The local proxy represents a legacy credit-union member service. The main capability looks up a member number and returns the current savings balance. The proxy also provides member-not-found, permission-denied, validation-error, and account-opening review states so the runtime contract can demonstrate realistic outcomes without using real credentials or PII.</w:t>
      </w:r>
    </w:p>
    <w:p>
      <w:pPr>
        <w:pStyle w:val="Heading2"/>
      </w:pPr>
      <w:r>
        <w:t>Core components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360"/>
            <w:shd w:fill="17365D"/>
            <w:tcMar>
              <w:top w:w="100" w:type="dxa"/>
              <w:start w:w="100" w:type="dxa"/>
              <w:bottom w:w="100" w:type="dxa"/>
              <w:end w:w="100" w:type="dxa"/>
            </w:tcMar>
          </w:tcPr>
          <w:p>
            <w:pPr>
              <w:spacing w:after="20" w:line="240" w:lineRule="auto"/>
              <w:jc w:val="center"/>
            </w:pPr>
            <w:r>
              <w:rPr>
                <w:b/>
                <w:color w:val="FFFFFF"/>
                <w:sz w:val="18"/>
              </w:rPr>
              <w:t>Component</w:t>
            </w:r>
          </w:p>
        </w:tc>
        <w:tc>
          <w:tcPr>
            <w:tcW w:type="dxa" w:w="3360"/>
            <w:shd w:fill="17365D"/>
            <w:tcMar>
              <w:top w:w="100" w:type="dxa"/>
              <w:start w:w="100" w:type="dxa"/>
              <w:bottom w:w="100" w:type="dxa"/>
              <w:end w:w="100" w:type="dxa"/>
            </w:tcMar>
          </w:tcPr>
          <w:p>
            <w:pPr>
              <w:spacing w:after="20" w:line="240" w:lineRule="auto"/>
              <w:jc w:val="center"/>
            </w:pPr>
            <w:r>
              <w:rPr>
                <w:b/>
                <w:color w:val="FFFFFF"/>
                <w:sz w:val="18"/>
              </w:rPr>
              <w:t>Responsibility</w:t>
            </w:r>
          </w:p>
        </w:tc>
        <w:tc>
          <w:tcPr>
            <w:tcW w:type="dxa" w:w="3360"/>
            <w:shd w:fill="17365D"/>
            <w:tcMar>
              <w:top w:w="100" w:type="dxa"/>
              <w:start w:w="100" w:type="dxa"/>
              <w:bottom w:w="100" w:type="dxa"/>
              <w:end w:w="100" w:type="dxa"/>
            </w:tcMar>
          </w:tcPr>
          <w:p>
            <w:pPr>
              <w:spacing w:after="20" w:line="240" w:lineRule="auto"/>
              <w:jc w:val="center"/>
            </w:pPr>
            <w:r>
              <w:rPr>
                <w:b/>
                <w:color w:val="FFFFFF"/>
                <w:sz w:val="18"/>
              </w:rPr>
              <w:t>Primary Files</w:t>
            </w:r>
          </w:p>
        </w:tc>
      </w:tr>
      <w:tr>
        <w:tc>
          <w:tcPr>
            <w:tcW w:type="dxa" w:w="3360"/>
            <w:tcMar>
              <w:top w:w="100" w:type="dxa"/>
              <w:start w:w="100" w:type="dxa"/>
              <w:bottom w:w="100" w:type="dxa"/>
              <w:end w:w="100" w:type="dxa"/>
            </w:tcMar>
            <w:vAlign w:val="center"/>
          </w:tcPr>
          <w:p>
            <w:pPr>
              <w:spacing w:after="20" w:line="240" w:lineRule="auto"/>
            </w:pPr>
            <w:r>
              <w:rPr>
                <w:sz w:val="17"/>
              </w:rPr>
              <w:t>Discovery</w:t>
            </w:r>
          </w:p>
        </w:tc>
        <w:tc>
          <w:tcPr>
            <w:tcW w:type="dxa" w:w="3360"/>
            <w:tcMar>
              <w:top w:w="100" w:type="dxa"/>
              <w:start w:w="100" w:type="dxa"/>
              <w:bottom w:w="100" w:type="dxa"/>
              <w:end w:w="100" w:type="dxa"/>
            </w:tcMar>
            <w:vAlign w:val="center"/>
          </w:tcPr>
          <w:p>
            <w:pPr>
              <w:spacing w:after="20" w:line="240" w:lineRule="auto"/>
            </w:pPr>
            <w:r>
              <w:rPr>
                <w:sz w:val="17"/>
              </w:rPr>
              <w:t>Observe -&gt; decide -&gt; policy check -&gt; act -&gt; record</w:t>
            </w:r>
          </w:p>
        </w:tc>
        <w:tc>
          <w:tcPr>
            <w:tcW w:type="dxa" w:w="3360"/>
            <w:tcMar>
              <w:top w:w="100" w:type="dxa"/>
              <w:start w:w="100" w:type="dxa"/>
              <w:bottom w:w="100" w:type="dxa"/>
              <w:end w:w="100" w:type="dxa"/>
            </w:tcMar>
            <w:vAlign w:val="center"/>
          </w:tcPr>
          <w:p>
            <w:pPr>
              <w:spacing w:after="20" w:line="240" w:lineRule="auto"/>
            </w:pPr>
            <w:r>
              <w:rPr>
                <w:sz w:val="17"/>
              </w:rPr>
              <w:t>app/agent/</w:t>
            </w:r>
          </w:p>
        </w:tc>
      </w:tr>
      <w:tr>
        <w:tc>
          <w:tcPr>
            <w:tcW w:type="dxa" w:w="3360"/>
            <w:tcMar>
              <w:top w:w="100" w:type="dxa"/>
              <w:start w:w="100" w:type="dxa"/>
              <w:bottom w:w="100" w:type="dxa"/>
              <w:end w:w="100" w:type="dxa"/>
            </w:tcMar>
            <w:vAlign w:val="center"/>
          </w:tcPr>
          <w:p>
            <w:pPr>
              <w:spacing w:after="20" w:line="240" w:lineRule="auto"/>
            </w:pPr>
            <w:r>
              <w:rPr>
                <w:sz w:val="17"/>
              </w:rPr>
              <w:t>Surface</w:t>
            </w:r>
          </w:p>
        </w:tc>
        <w:tc>
          <w:tcPr>
            <w:tcW w:type="dxa" w:w="3360"/>
            <w:tcMar>
              <w:top w:w="100" w:type="dxa"/>
              <w:start w:w="100" w:type="dxa"/>
              <w:bottom w:w="100" w:type="dxa"/>
              <w:end w:w="100" w:type="dxa"/>
            </w:tcMar>
            <w:vAlign w:val="center"/>
          </w:tcPr>
          <w:p>
            <w:pPr>
              <w:spacing w:after="20" w:line="240" w:lineRule="auto"/>
            </w:pPr>
            <w:r>
              <w:rPr>
                <w:sz w:val="17"/>
              </w:rPr>
              <w:t>Observe and act on the live browser session</w:t>
            </w:r>
          </w:p>
        </w:tc>
        <w:tc>
          <w:tcPr>
            <w:tcW w:type="dxa" w:w="3360"/>
            <w:tcMar>
              <w:top w:w="100" w:type="dxa"/>
              <w:start w:w="100" w:type="dxa"/>
              <w:bottom w:w="100" w:type="dxa"/>
              <w:end w:w="100" w:type="dxa"/>
            </w:tcMar>
            <w:vAlign w:val="center"/>
          </w:tcPr>
          <w:p>
            <w:pPr>
              <w:spacing w:after="20" w:line="240" w:lineRule="auto"/>
            </w:pPr>
            <w:r>
              <w:rPr>
                <w:sz w:val="17"/>
              </w:rPr>
              <w:t>app/surface/</w:t>
            </w:r>
          </w:p>
        </w:tc>
      </w:tr>
      <w:tr>
        <w:tc>
          <w:tcPr>
            <w:tcW w:type="dxa" w:w="3360"/>
            <w:tcMar>
              <w:top w:w="100" w:type="dxa"/>
              <w:start w:w="100" w:type="dxa"/>
              <w:bottom w:w="100" w:type="dxa"/>
              <w:end w:w="100" w:type="dxa"/>
            </w:tcMar>
            <w:vAlign w:val="center"/>
          </w:tcPr>
          <w:p>
            <w:pPr>
              <w:spacing w:after="20" w:line="240" w:lineRule="auto"/>
            </w:pPr>
            <w:r>
              <w:rPr>
                <w:sz w:val="17"/>
              </w:rPr>
              <w:t>Artifact</w:t>
            </w:r>
          </w:p>
        </w:tc>
        <w:tc>
          <w:tcPr>
            <w:tcW w:type="dxa" w:w="3360"/>
            <w:tcMar>
              <w:top w:w="100" w:type="dxa"/>
              <w:start w:w="100" w:type="dxa"/>
              <w:bottom w:w="100" w:type="dxa"/>
              <w:end w:w="100" w:type="dxa"/>
            </w:tcMar>
            <w:vAlign w:val="center"/>
          </w:tcPr>
          <w:p>
            <w:pPr>
              <w:spacing w:after="20" w:line="240" w:lineRule="auto"/>
            </w:pPr>
            <w:r>
              <w:rPr>
                <w:sz w:val="17"/>
              </w:rPr>
              <w:t>Typed inputs, outputs, steps, locators, checkpoint</w:t>
            </w:r>
          </w:p>
        </w:tc>
        <w:tc>
          <w:tcPr>
            <w:tcW w:type="dxa" w:w="3360"/>
            <w:tcMar>
              <w:top w:w="100" w:type="dxa"/>
              <w:start w:w="100" w:type="dxa"/>
              <w:bottom w:w="100" w:type="dxa"/>
              <w:end w:w="100" w:type="dxa"/>
            </w:tcMar>
            <w:vAlign w:val="center"/>
          </w:tcPr>
          <w:p>
            <w:pPr>
              <w:spacing w:after="20" w:line="240" w:lineRule="auto"/>
            </w:pPr>
            <w:r>
              <w:rPr>
                <w:sz w:val="17"/>
              </w:rPr>
              <w:t>app/models.py</w:t>
            </w:r>
          </w:p>
        </w:tc>
      </w:tr>
      <w:tr>
        <w:tc>
          <w:tcPr>
            <w:tcW w:type="dxa" w:w="3360"/>
            <w:tcMar>
              <w:top w:w="100" w:type="dxa"/>
              <w:start w:w="100" w:type="dxa"/>
              <w:bottom w:w="100" w:type="dxa"/>
              <w:end w:w="100" w:type="dxa"/>
            </w:tcMar>
            <w:vAlign w:val="center"/>
          </w:tcPr>
          <w:p>
            <w:pPr>
              <w:spacing w:after="20" w:line="240" w:lineRule="auto"/>
            </w:pPr>
            <w:r>
              <w:rPr>
                <w:sz w:val="17"/>
              </w:rPr>
              <w:t>Replay</w:t>
            </w:r>
          </w:p>
        </w:tc>
        <w:tc>
          <w:tcPr>
            <w:tcW w:type="dxa" w:w="3360"/>
            <w:tcMar>
              <w:top w:w="100" w:type="dxa"/>
              <w:start w:w="100" w:type="dxa"/>
              <w:bottom w:w="100" w:type="dxa"/>
              <w:end w:w="100" w:type="dxa"/>
            </w:tcMar>
            <w:vAlign w:val="center"/>
          </w:tcPr>
          <w:p>
            <w:pPr>
              <w:spacing w:after="20" w:line="240" w:lineRule="auto"/>
            </w:pPr>
            <w:r>
              <w:rPr>
                <w:sz w:val="17"/>
              </w:rPr>
              <w:t>LLM-free execution and error taxonomy</w:t>
            </w:r>
          </w:p>
        </w:tc>
        <w:tc>
          <w:tcPr>
            <w:tcW w:type="dxa" w:w="3360"/>
            <w:tcMar>
              <w:top w:w="100" w:type="dxa"/>
              <w:start w:w="100" w:type="dxa"/>
              <w:bottom w:w="100" w:type="dxa"/>
              <w:end w:w="100" w:type="dxa"/>
            </w:tcMar>
            <w:vAlign w:val="center"/>
          </w:tcPr>
          <w:p>
            <w:pPr>
              <w:spacing w:after="20" w:line="240" w:lineRule="auto"/>
            </w:pPr>
            <w:r>
              <w:rPr>
                <w:sz w:val="17"/>
              </w:rPr>
              <w:t>app/replay/</w:t>
            </w:r>
          </w:p>
        </w:tc>
      </w:tr>
      <w:tr>
        <w:tc>
          <w:tcPr>
            <w:tcW w:type="dxa" w:w="3360"/>
            <w:tcMar>
              <w:top w:w="100" w:type="dxa"/>
              <w:start w:w="100" w:type="dxa"/>
              <w:bottom w:w="100" w:type="dxa"/>
              <w:end w:w="100" w:type="dxa"/>
            </w:tcMar>
            <w:vAlign w:val="center"/>
          </w:tcPr>
          <w:p>
            <w:pPr>
              <w:spacing w:after="20" w:line="240" w:lineRule="auto"/>
            </w:pPr>
            <w:r>
              <w:rPr>
                <w:sz w:val="17"/>
              </w:rPr>
              <w:t>Handoff</w:t>
            </w:r>
          </w:p>
        </w:tc>
        <w:tc>
          <w:tcPr>
            <w:tcW w:type="dxa" w:w="3360"/>
            <w:tcMar>
              <w:top w:w="100" w:type="dxa"/>
              <w:start w:w="100" w:type="dxa"/>
              <w:bottom w:w="100" w:type="dxa"/>
              <w:end w:w="100" w:type="dxa"/>
            </w:tcMar>
            <w:vAlign w:val="center"/>
          </w:tcPr>
          <w:p>
            <w:pPr>
              <w:spacing w:after="20" w:line="240" w:lineRule="auto"/>
            </w:pPr>
            <w:r>
              <w:rPr>
                <w:sz w:val="17"/>
              </w:rPr>
              <w:t>Same-session operator control transfer</w:t>
            </w:r>
          </w:p>
        </w:tc>
        <w:tc>
          <w:tcPr>
            <w:tcW w:type="dxa" w:w="3360"/>
            <w:tcMar>
              <w:top w:w="100" w:type="dxa"/>
              <w:start w:w="100" w:type="dxa"/>
              <w:bottom w:w="100" w:type="dxa"/>
              <w:end w:w="100" w:type="dxa"/>
            </w:tcMar>
            <w:vAlign w:val="center"/>
          </w:tcPr>
          <w:p>
            <w:pPr>
              <w:spacing w:after="20" w:line="240" w:lineRule="auto"/>
            </w:pPr>
            <w:r>
              <w:rPr>
                <w:sz w:val="17"/>
              </w:rPr>
              <w:t>app/handoff/</w:t>
            </w:r>
          </w:p>
        </w:tc>
      </w:tr>
      <w:tr>
        <w:tc>
          <w:tcPr>
            <w:tcW w:type="dxa" w:w="3360"/>
            <w:tcMar>
              <w:top w:w="100" w:type="dxa"/>
              <w:start w:w="100" w:type="dxa"/>
              <w:bottom w:w="100" w:type="dxa"/>
              <w:end w:w="100" w:type="dxa"/>
            </w:tcMar>
            <w:vAlign w:val="center"/>
          </w:tcPr>
          <w:p>
            <w:pPr>
              <w:spacing w:after="20" w:line="240" w:lineRule="auto"/>
            </w:pPr>
            <w:r>
              <w:rPr>
                <w:sz w:val="17"/>
              </w:rPr>
              <w:t>Proxy target</w:t>
            </w:r>
          </w:p>
        </w:tc>
        <w:tc>
          <w:tcPr>
            <w:tcW w:type="dxa" w:w="3360"/>
            <w:tcMar>
              <w:top w:w="100" w:type="dxa"/>
              <w:start w:w="100" w:type="dxa"/>
              <w:bottom w:w="100" w:type="dxa"/>
              <w:end w:w="100" w:type="dxa"/>
            </w:tcMar>
            <w:vAlign w:val="center"/>
          </w:tcPr>
          <w:p>
            <w:pPr>
              <w:spacing w:after="20" w:line="240" w:lineRule="auto"/>
            </w:pPr>
            <w:r>
              <w:rPr>
                <w:sz w:val="17"/>
              </w:rPr>
              <w:t>Synthetic legacy back-office application</w:t>
            </w:r>
          </w:p>
        </w:tc>
        <w:tc>
          <w:tcPr>
            <w:tcW w:type="dxa" w:w="3360"/>
            <w:tcMar>
              <w:top w:w="100" w:type="dxa"/>
              <w:start w:w="100" w:type="dxa"/>
              <w:bottom w:w="100" w:type="dxa"/>
              <w:end w:w="100" w:type="dxa"/>
            </w:tcMar>
            <w:vAlign w:val="center"/>
          </w:tcPr>
          <w:p>
            <w:pPr>
              <w:spacing w:after="20" w:line="240" w:lineRule="auto"/>
            </w:pPr>
            <w:r>
              <w:rPr>
                <w:sz w:val="17"/>
              </w:rPr>
              <w:t>app/legacy_app/</w:t>
            </w:r>
          </w:p>
        </w:tc>
      </w:tr>
    </w:tbl>
    <w:p>
      <w:pPr>
        <w:pStyle w:val="Heading1"/>
      </w:pPr>
      <w:r>
        <w:t>2. Capability Artifact Design</w:t>
      </w:r>
    </w:p>
    <w:p>
      <w:r>
        <w:t>The artifact is the central product boundary. It is deliberately separate from the raw model transcript so it can be reviewed, versioned, invoked by another agent, and replayed without model reasoning.</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360"/>
            <w:shd w:fill="2F5597"/>
            <w:tcMar>
              <w:top w:w="100" w:type="dxa"/>
              <w:start w:w="100" w:type="dxa"/>
              <w:bottom w:w="100" w:type="dxa"/>
              <w:end w:w="100" w:type="dxa"/>
            </w:tcMar>
          </w:tcPr>
          <w:p>
            <w:pPr>
              <w:spacing w:after="20" w:line="240" w:lineRule="auto"/>
              <w:jc w:val="center"/>
            </w:pPr>
            <w:r>
              <w:rPr>
                <w:b/>
                <w:color w:val="FFFFFF"/>
                <w:sz w:val="18"/>
              </w:rPr>
              <w:t>Field</w:t>
            </w:r>
          </w:p>
        </w:tc>
        <w:tc>
          <w:tcPr>
            <w:tcW w:type="dxa" w:w="3360"/>
            <w:shd w:fill="2F5597"/>
            <w:tcMar>
              <w:top w:w="100" w:type="dxa"/>
              <w:start w:w="100" w:type="dxa"/>
              <w:bottom w:w="100" w:type="dxa"/>
              <w:end w:w="100" w:type="dxa"/>
            </w:tcMar>
          </w:tcPr>
          <w:p>
            <w:pPr>
              <w:spacing w:after="20" w:line="240" w:lineRule="auto"/>
              <w:jc w:val="center"/>
            </w:pPr>
            <w:r>
              <w:rPr>
                <w:b/>
                <w:color w:val="FFFFFF"/>
                <w:sz w:val="18"/>
              </w:rPr>
              <w:t>Purpose</w:t>
            </w:r>
          </w:p>
        </w:tc>
        <w:tc>
          <w:tcPr>
            <w:tcW w:type="dxa" w:w="3360"/>
            <w:shd w:fill="2F5597"/>
            <w:tcMar>
              <w:top w:w="100" w:type="dxa"/>
              <w:start w:w="100" w:type="dxa"/>
              <w:bottom w:w="100" w:type="dxa"/>
              <w:end w:w="100" w:type="dxa"/>
            </w:tcMar>
          </w:tcPr>
          <w:p>
            <w:pPr>
              <w:spacing w:after="20" w:line="240" w:lineRule="auto"/>
              <w:jc w:val="center"/>
            </w:pPr>
            <w:r>
              <w:rPr>
                <w:b/>
                <w:color w:val="FFFFFF"/>
                <w:sz w:val="18"/>
              </w:rPr>
              <w:t>Design Reason</w:t>
            </w:r>
          </w:p>
        </w:tc>
      </w:tr>
      <w:tr>
        <w:tc>
          <w:tcPr>
            <w:tcW w:type="dxa" w:w="3360"/>
            <w:tcMar>
              <w:top w:w="90" w:type="dxa"/>
              <w:start w:w="90" w:type="dxa"/>
              <w:bottom w:w="90" w:type="dxa"/>
              <w:end w:w="90" w:type="dxa"/>
            </w:tcMar>
            <w:vAlign w:val="center"/>
          </w:tcPr>
          <w:p>
            <w:pPr>
              <w:spacing w:after="20" w:line="240" w:lineRule="auto"/>
            </w:pPr>
            <w:r>
              <w:rPr>
                <w:sz w:val="16"/>
              </w:rPr>
              <w:t>schema_version / artifact_version</w:t>
            </w:r>
          </w:p>
        </w:tc>
        <w:tc>
          <w:tcPr>
            <w:tcW w:type="dxa" w:w="3360"/>
            <w:tcMar>
              <w:top w:w="90" w:type="dxa"/>
              <w:start w:w="90" w:type="dxa"/>
              <w:bottom w:w="90" w:type="dxa"/>
              <w:end w:w="90" w:type="dxa"/>
            </w:tcMar>
            <w:vAlign w:val="center"/>
          </w:tcPr>
          <w:p>
            <w:pPr>
              <w:spacing w:after="20" w:line="240" w:lineRule="auto"/>
            </w:pPr>
            <w:r>
              <w:rPr>
                <w:sz w:val="16"/>
              </w:rPr>
              <w:t>Compatibility and review history</w:t>
            </w:r>
          </w:p>
        </w:tc>
        <w:tc>
          <w:tcPr>
            <w:tcW w:type="dxa" w:w="3360"/>
            <w:tcMar>
              <w:top w:w="90" w:type="dxa"/>
              <w:start w:w="90" w:type="dxa"/>
              <w:bottom w:w="90" w:type="dxa"/>
              <w:end w:w="90" w:type="dxa"/>
            </w:tcMar>
            <w:vAlign w:val="center"/>
          </w:tcPr>
          <w:p>
            <w:pPr>
              <w:spacing w:after="20" w:line="240" w:lineRule="auto"/>
            </w:pPr>
            <w:r>
              <w:rPr>
                <w:sz w:val="16"/>
              </w:rPr>
              <w:t>Allows schema evolution and capability revisions.</w:t>
            </w:r>
          </w:p>
        </w:tc>
      </w:tr>
      <w:tr>
        <w:tc>
          <w:tcPr>
            <w:tcW w:type="dxa" w:w="3360"/>
            <w:tcMar>
              <w:top w:w="90" w:type="dxa"/>
              <w:start w:w="90" w:type="dxa"/>
              <w:bottom w:w="90" w:type="dxa"/>
              <w:end w:w="90" w:type="dxa"/>
            </w:tcMar>
            <w:vAlign w:val="center"/>
          </w:tcPr>
          <w:p>
            <w:pPr>
              <w:spacing w:after="20" w:line="240" w:lineRule="auto"/>
            </w:pPr>
            <w:r>
              <w:rPr>
                <w:sz w:val="16"/>
              </w:rPr>
              <w:t>app_family</w:t>
            </w:r>
          </w:p>
        </w:tc>
        <w:tc>
          <w:tcPr>
            <w:tcW w:type="dxa" w:w="3360"/>
            <w:tcMar>
              <w:top w:w="90" w:type="dxa"/>
              <w:start w:w="90" w:type="dxa"/>
              <w:bottom w:w="90" w:type="dxa"/>
              <w:end w:w="90" w:type="dxa"/>
            </w:tcMar>
            <w:vAlign w:val="center"/>
          </w:tcPr>
          <w:p>
            <w:pPr>
              <w:spacing w:after="20" w:line="240" w:lineRule="auto"/>
            </w:pPr>
            <w:r>
              <w:rPr>
                <w:sz w:val="16"/>
              </w:rPr>
              <w:t>Vendor/product reuse key</w:t>
            </w:r>
          </w:p>
        </w:tc>
        <w:tc>
          <w:tcPr>
            <w:tcW w:type="dxa" w:w="3360"/>
            <w:tcMar>
              <w:top w:w="90" w:type="dxa"/>
              <w:start w:w="90" w:type="dxa"/>
              <w:bottom w:w="90" w:type="dxa"/>
              <w:end w:w="90" w:type="dxa"/>
            </w:tcMar>
            <w:vAlign w:val="center"/>
          </w:tcPr>
          <w:p>
            <w:pPr>
              <w:spacing w:after="20" w:line="240" w:lineRule="auto"/>
            </w:pPr>
            <w:r>
              <w:rPr>
                <w:sz w:val="16"/>
              </w:rPr>
              <w:t>Supports a shared base capability across multiple institutions.</w:t>
            </w:r>
          </w:p>
        </w:tc>
      </w:tr>
      <w:tr>
        <w:tc>
          <w:tcPr>
            <w:tcW w:type="dxa" w:w="3360"/>
            <w:tcMar>
              <w:top w:w="90" w:type="dxa"/>
              <w:start w:w="90" w:type="dxa"/>
              <w:bottom w:w="90" w:type="dxa"/>
              <w:end w:w="90" w:type="dxa"/>
            </w:tcMar>
            <w:vAlign w:val="center"/>
          </w:tcPr>
          <w:p>
            <w:pPr>
              <w:spacing w:after="20" w:line="240" w:lineRule="auto"/>
            </w:pPr>
            <w:r>
              <w:rPr>
                <w:sz w:val="16"/>
              </w:rPr>
              <w:t>inputs / outputs</w:t>
            </w:r>
          </w:p>
        </w:tc>
        <w:tc>
          <w:tcPr>
            <w:tcW w:type="dxa" w:w="3360"/>
            <w:tcMar>
              <w:top w:w="90" w:type="dxa"/>
              <w:start w:w="90" w:type="dxa"/>
              <w:bottom w:w="90" w:type="dxa"/>
              <w:end w:w="90" w:type="dxa"/>
            </w:tcMar>
            <w:vAlign w:val="center"/>
          </w:tcPr>
          <w:p>
            <w:pPr>
              <w:spacing w:after="20" w:line="240" w:lineRule="auto"/>
            </w:pPr>
            <w:r>
              <w:rPr>
                <w:sz w:val="16"/>
              </w:rPr>
              <w:t>Typed invocation contract</w:t>
            </w:r>
          </w:p>
        </w:tc>
        <w:tc>
          <w:tcPr>
            <w:tcW w:type="dxa" w:w="3360"/>
            <w:tcMar>
              <w:top w:w="90" w:type="dxa"/>
              <w:start w:w="90" w:type="dxa"/>
              <w:bottom w:w="90" w:type="dxa"/>
              <w:end w:w="90" w:type="dxa"/>
            </w:tcMar>
            <w:vAlign w:val="center"/>
          </w:tcPr>
          <w:p>
            <w:pPr>
              <w:spacing w:after="20" w:line="240" w:lineRule="auto"/>
            </w:pPr>
            <w:r>
              <w:rPr>
                <w:sz w:val="16"/>
              </w:rPr>
              <w:t>Calling agents know exactly what to supply and receive.</w:t>
            </w:r>
          </w:p>
        </w:tc>
      </w:tr>
      <w:tr>
        <w:tc>
          <w:tcPr>
            <w:tcW w:type="dxa" w:w="3360"/>
            <w:tcMar>
              <w:top w:w="90" w:type="dxa"/>
              <w:start w:w="90" w:type="dxa"/>
              <w:bottom w:w="90" w:type="dxa"/>
              <w:end w:w="90" w:type="dxa"/>
            </w:tcMar>
            <w:vAlign w:val="center"/>
          </w:tcPr>
          <w:p>
            <w:pPr>
              <w:spacing w:after="20" w:line="240" w:lineRule="auto"/>
            </w:pPr>
            <w:r>
              <w:rPr>
                <w:sz w:val="16"/>
              </w:rPr>
              <w:t>steps</w:t>
            </w:r>
          </w:p>
        </w:tc>
        <w:tc>
          <w:tcPr>
            <w:tcW w:type="dxa" w:w="3360"/>
            <w:tcMar>
              <w:top w:w="90" w:type="dxa"/>
              <w:start w:w="90" w:type="dxa"/>
              <w:bottom w:w="90" w:type="dxa"/>
              <w:end w:w="90" w:type="dxa"/>
            </w:tcMar>
            <w:vAlign w:val="center"/>
          </w:tcPr>
          <w:p>
            <w:pPr>
              <w:spacing w:after="20" w:line="240" w:lineRule="auto"/>
            </w:pPr>
            <w:r>
              <w:rPr>
                <w:sz w:val="16"/>
              </w:rPr>
              <w:t>Ordered deterministic actions</w:t>
            </w:r>
          </w:p>
        </w:tc>
        <w:tc>
          <w:tcPr>
            <w:tcW w:type="dxa" w:w="3360"/>
            <w:tcMar>
              <w:top w:w="90" w:type="dxa"/>
              <w:start w:w="90" w:type="dxa"/>
              <w:bottom w:w="90" w:type="dxa"/>
              <w:end w:w="90" w:type="dxa"/>
            </w:tcMar>
            <w:vAlign w:val="center"/>
          </w:tcPr>
          <w:p>
            <w:pPr>
              <w:spacing w:after="20" w:line="240" w:lineRule="auto"/>
            </w:pPr>
            <w:r>
              <w:rPr>
                <w:sz w:val="16"/>
              </w:rPr>
              <w:t>Production execution no longer asks the LLM what to do.</w:t>
            </w:r>
          </w:p>
        </w:tc>
      </w:tr>
      <w:tr>
        <w:tc>
          <w:tcPr>
            <w:tcW w:type="dxa" w:w="3360"/>
            <w:tcMar>
              <w:top w:w="90" w:type="dxa"/>
              <w:start w:w="90" w:type="dxa"/>
              <w:bottom w:w="90" w:type="dxa"/>
              <w:end w:w="90" w:type="dxa"/>
            </w:tcMar>
            <w:vAlign w:val="center"/>
          </w:tcPr>
          <w:p>
            <w:pPr>
              <w:spacing w:after="20" w:line="240" w:lineRule="auto"/>
            </w:pPr>
            <w:r>
              <w:rPr>
                <w:sz w:val="16"/>
              </w:rPr>
              <w:t>locator_candidates</w:t>
            </w:r>
          </w:p>
        </w:tc>
        <w:tc>
          <w:tcPr>
            <w:tcW w:type="dxa" w:w="3360"/>
            <w:tcMar>
              <w:top w:w="90" w:type="dxa"/>
              <w:start w:w="90" w:type="dxa"/>
              <w:bottom w:w="90" w:type="dxa"/>
              <w:end w:w="90" w:type="dxa"/>
            </w:tcMar>
            <w:vAlign w:val="center"/>
          </w:tcPr>
          <w:p>
            <w:pPr>
              <w:spacing w:after="20" w:line="240" w:lineRule="auto"/>
            </w:pPr>
            <w:r>
              <w:rPr>
                <w:sz w:val="16"/>
              </w:rPr>
              <w:t>Stable target fallback order</w:t>
            </w:r>
          </w:p>
        </w:tc>
        <w:tc>
          <w:tcPr>
            <w:tcW w:type="dxa" w:w="3360"/>
            <w:tcMar>
              <w:top w:w="90" w:type="dxa"/>
              <w:start w:w="90" w:type="dxa"/>
              <w:bottom w:w="90" w:type="dxa"/>
              <w:end w:w="90" w:type="dxa"/>
            </w:tcMar>
            <w:vAlign w:val="center"/>
          </w:tcPr>
          <w:p>
            <w:pPr>
              <w:spacing w:after="20" w:line="240" w:lineRule="auto"/>
            </w:pPr>
            <w:r>
              <w:rPr>
                <w:sz w:val="16"/>
              </w:rPr>
              <w:t>Prefers role/label/text before a narrow CSS fallback.</w:t>
            </w:r>
          </w:p>
        </w:tc>
      </w:tr>
      <w:tr>
        <w:tc>
          <w:tcPr>
            <w:tcW w:type="dxa" w:w="3360"/>
            <w:tcMar>
              <w:top w:w="90" w:type="dxa"/>
              <w:start w:w="90" w:type="dxa"/>
              <w:bottom w:w="90" w:type="dxa"/>
              <w:end w:w="90" w:type="dxa"/>
            </w:tcMar>
            <w:vAlign w:val="center"/>
          </w:tcPr>
          <w:p>
            <w:pPr>
              <w:spacing w:after="20" w:line="240" w:lineRule="auto"/>
            </w:pPr>
            <w:r>
              <w:rPr>
                <w:sz w:val="16"/>
              </w:rPr>
              <w:t>success_condition</w:t>
            </w:r>
          </w:p>
        </w:tc>
        <w:tc>
          <w:tcPr>
            <w:tcW w:type="dxa" w:w="3360"/>
            <w:tcMar>
              <w:top w:w="90" w:type="dxa"/>
              <w:start w:w="90" w:type="dxa"/>
              <w:bottom w:w="90" w:type="dxa"/>
              <w:end w:w="90" w:type="dxa"/>
            </w:tcMar>
            <w:vAlign w:val="center"/>
          </w:tcPr>
          <w:p>
            <w:pPr>
              <w:spacing w:after="20" w:line="240" w:lineRule="auto"/>
            </w:pPr>
            <w:r>
              <w:rPr>
                <w:sz w:val="16"/>
              </w:rPr>
              <w:t>Explicit completion checkpoint</w:t>
            </w:r>
          </w:p>
        </w:tc>
        <w:tc>
          <w:tcPr>
            <w:tcW w:type="dxa" w:w="3360"/>
            <w:tcMar>
              <w:top w:w="90" w:type="dxa"/>
              <w:start w:w="90" w:type="dxa"/>
              <w:bottom w:w="90" w:type="dxa"/>
              <w:end w:w="90" w:type="dxa"/>
            </w:tcMar>
            <w:vAlign w:val="center"/>
          </w:tcPr>
          <w:p>
            <w:pPr>
              <w:spacing w:after="20" w:line="240" w:lineRule="auto"/>
            </w:pPr>
            <w:r>
              <w:rPr>
                <w:sz w:val="16"/>
              </w:rPr>
              <w:t>Prevents assuming that the last click succeeded.</w:t>
            </w:r>
          </w:p>
        </w:tc>
      </w:tr>
      <w:tr>
        <w:tc>
          <w:tcPr>
            <w:tcW w:type="dxa" w:w="3360"/>
            <w:tcMar>
              <w:top w:w="90" w:type="dxa"/>
              <w:start w:w="90" w:type="dxa"/>
              <w:bottom w:w="90" w:type="dxa"/>
              <w:end w:w="90" w:type="dxa"/>
            </w:tcMar>
            <w:vAlign w:val="center"/>
          </w:tcPr>
          <w:p>
            <w:pPr>
              <w:spacing w:after="20" w:line="240" w:lineRule="auto"/>
            </w:pPr>
            <w:r>
              <w:rPr>
                <w:sz w:val="16"/>
              </w:rPr>
              <w:t>tenant_overrides</w:t>
            </w:r>
          </w:p>
        </w:tc>
        <w:tc>
          <w:tcPr>
            <w:tcW w:type="dxa" w:w="3360"/>
            <w:tcMar>
              <w:top w:w="90" w:type="dxa"/>
              <w:start w:w="90" w:type="dxa"/>
              <w:bottom w:w="90" w:type="dxa"/>
              <w:end w:w="90" w:type="dxa"/>
            </w:tcMar>
            <w:vAlign w:val="center"/>
          </w:tcPr>
          <w:p>
            <w:pPr>
              <w:spacing w:after="20" w:line="240" w:lineRule="auto"/>
            </w:pPr>
            <w:r>
              <w:rPr>
                <w:sz w:val="16"/>
              </w:rPr>
              <w:t>Sparse specialization seam</w:t>
            </w:r>
          </w:p>
        </w:tc>
        <w:tc>
          <w:tcPr>
            <w:tcW w:type="dxa" w:w="3360"/>
            <w:tcMar>
              <w:top w:w="90" w:type="dxa"/>
              <w:start w:w="90" w:type="dxa"/>
              <w:bottom w:w="90" w:type="dxa"/>
              <w:end w:w="90" w:type="dxa"/>
            </w:tcMar>
            <w:vAlign w:val="center"/>
          </w:tcPr>
          <w:p>
            <w:pPr>
              <w:spacing w:after="20" w:line="240" w:lineRule="auto"/>
            </w:pPr>
            <w:r>
              <w:rPr>
                <w:sz w:val="16"/>
              </w:rPr>
              <w:t>Avoids cloning the full artifact per tenant.</w:t>
            </w:r>
          </w:p>
        </w:tc>
      </w:tr>
      <w:tr>
        <w:tc>
          <w:tcPr>
            <w:tcW w:type="dxa" w:w="3360"/>
            <w:tcMar>
              <w:top w:w="90" w:type="dxa"/>
              <w:start w:w="90" w:type="dxa"/>
              <w:bottom w:w="90" w:type="dxa"/>
              <w:end w:w="90" w:type="dxa"/>
            </w:tcMar>
            <w:vAlign w:val="center"/>
          </w:tcPr>
          <w:p>
            <w:pPr>
              <w:spacing w:after="20" w:line="240" w:lineRule="auto"/>
            </w:pPr>
            <w:r>
              <w:rPr>
                <w:sz w:val="16"/>
              </w:rPr>
              <w:t>approved</w:t>
            </w:r>
          </w:p>
        </w:tc>
        <w:tc>
          <w:tcPr>
            <w:tcW w:type="dxa" w:w="3360"/>
            <w:tcMar>
              <w:top w:w="90" w:type="dxa"/>
              <w:start w:w="90" w:type="dxa"/>
              <w:bottom w:w="90" w:type="dxa"/>
              <w:end w:w="90" w:type="dxa"/>
            </w:tcMar>
            <w:vAlign w:val="center"/>
          </w:tcPr>
          <w:p>
            <w:pPr>
              <w:spacing w:after="20" w:line="240" w:lineRule="auto"/>
            </w:pPr>
            <w:r>
              <w:rPr>
                <w:sz w:val="16"/>
              </w:rPr>
              <w:t>Unattended-use gate</w:t>
            </w:r>
          </w:p>
        </w:tc>
        <w:tc>
          <w:tcPr>
            <w:tcW w:type="dxa" w:w="3360"/>
            <w:tcMar>
              <w:top w:w="90" w:type="dxa"/>
              <w:start w:w="90" w:type="dxa"/>
              <w:bottom w:w="90" w:type="dxa"/>
              <w:end w:w="90" w:type="dxa"/>
            </w:tcMar>
            <w:vAlign w:val="center"/>
          </w:tcPr>
          <w:p>
            <w:pPr>
              <w:spacing w:after="20" w:line="240" w:lineRule="auto"/>
            </w:pPr>
            <w:r>
              <w:rPr>
                <w:sz w:val="16"/>
              </w:rPr>
              <w:t>Creates a path for draft -&gt; reviewed -&gt; approved capabilities.</w:t>
            </w:r>
          </w:p>
        </w:tc>
      </w:tr>
    </w:tbl>
    <w:p>
      <w:pPr>
        <w:pStyle w:val="Heading2"/>
      </w:pPr>
      <w:r>
        <w:t>Example contract</w:t>
      </w:r>
    </w:p>
    <w:p>
      <w:pPr>
        <w:pStyle w:val="CodeBlock"/>
      </w:pPr>
      <w:r>
        <w:rPr>
          <w:rFonts w:ascii="Consolas" w:hAnsi="Consolas"/>
          <w:sz w:val="17"/>
        </w:rPr>
        <w:t>{</w:t>
        <w:br/>
        <w:t xml:space="preserve">  "inputs": [{"name": "member_id", "type": "string"}],</w:t>
        <w:br/>
        <w:t xml:space="preserve">  "outputs": [{"name": "savings_balance", "type": "string"}],</w:t>
        <w:br/>
        <w:t xml:space="preserve">  "steps": [</w:t>
        <w:br/>
        <w:t xml:space="preserve">    {"action": "type", "value": "{{member_id}}", "locator_candidates": [...]},</w:t>
        <w:br/>
        <w:t xml:space="preserve">    {"action": "click", "locator_candidates": [...]},</w:t>
        <w:br/>
        <w:t xml:space="preserve">    {"action": "read", "output_name": "savings_balance", "locator_candidates": [...]}</w:t>
        <w:br/>
        <w:t xml:space="preserve">  ],</w:t>
        <w:br/>
        <w:t xml:space="preserve">  "success_condition": {"kind": "output_present", "value": "savings_balance"}</w:t>
        <w:br/>
        <w:t>}</w:t>
      </w:r>
    </w:p>
    <w:p>
      <w:r>
        <w:t>Runtime values are parameterized, so the artifact stores {{member_id}} rather than persisting the concrete member number from the discovery run. That is important for both reuse and regulated-data handling.</w:t>
      </w:r>
    </w:p>
    <w:p>
      <w:pPr>
        <w:pStyle w:val="Heading1"/>
      </w:pPr>
      <w:r>
        <w:t>3. Deterministic Replay &amp; Error Handling</w:t>
      </w:r>
    </w:p>
    <w:p>
      <w:r>
        <w:t>Replay validates required inputs, opens the saved entry point, renders runtime parameters, executes the fixed step sequence, tries locator candidates in a deterministic order, performs bounded retries for transient timeouts, extracts declared outputs, and verifies the success checkpoint.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520"/>
            <w:shd w:fill="17365D"/>
            <w:tcMar>
              <w:top w:w="100" w:type="dxa"/>
              <w:start w:w="80" w:type="dxa"/>
              <w:bottom w:w="100" w:type="dxa"/>
              <w:end w:w="80" w:type="dxa"/>
            </w:tcMar>
          </w:tcPr>
          <w:p>
            <w:pPr>
              <w:spacing w:after="20" w:line="240" w:lineRule="auto"/>
              <w:jc w:val="center"/>
            </w:pPr>
            <w:r>
              <w:rPr>
                <w:b/>
                <w:color w:val="FFFFFF"/>
                <w:sz w:val="17"/>
              </w:rPr>
              <w:t>Result Class</w:t>
            </w:r>
          </w:p>
        </w:tc>
        <w:tc>
          <w:tcPr>
            <w:tcW w:type="dxa" w:w="2520"/>
            <w:shd w:fill="17365D"/>
            <w:tcMar>
              <w:top w:w="100" w:type="dxa"/>
              <w:start w:w="80" w:type="dxa"/>
              <w:bottom w:w="100" w:type="dxa"/>
              <w:end w:w="80" w:type="dxa"/>
            </w:tcMar>
          </w:tcPr>
          <w:p>
            <w:pPr>
              <w:spacing w:after="20" w:line="240" w:lineRule="auto"/>
              <w:jc w:val="center"/>
            </w:pPr>
            <w:r>
              <w:rPr>
                <w:b/>
                <w:color w:val="FFFFFF"/>
                <w:sz w:val="17"/>
              </w:rPr>
              <w:t>Example</w:t>
            </w:r>
          </w:p>
        </w:tc>
        <w:tc>
          <w:tcPr>
            <w:tcW w:type="dxa" w:w="2520"/>
            <w:shd w:fill="17365D"/>
            <w:tcMar>
              <w:top w:w="100" w:type="dxa"/>
              <w:start w:w="80" w:type="dxa"/>
              <w:bottom w:w="100" w:type="dxa"/>
              <w:end w:w="80" w:type="dxa"/>
            </w:tcMar>
          </w:tcPr>
          <w:p>
            <w:pPr>
              <w:spacing w:after="20" w:line="240" w:lineRule="auto"/>
              <w:jc w:val="center"/>
            </w:pPr>
            <w:r>
              <w:rPr>
                <w:b/>
                <w:color w:val="FFFFFF"/>
                <w:sz w:val="17"/>
              </w:rPr>
              <w:t>System Behavior</w:t>
            </w:r>
          </w:p>
        </w:tc>
        <w:tc>
          <w:tcPr>
            <w:tcW w:type="dxa" w:w="2520"/>
            <w:shd w:fill="17365D"/>
            <w:tcMar>
              <w:top w:w="100" w:type="dxa"/>
              <w:start w:w="80" w:type="dxa"/>
              <w:bottom w:w="100" w:type="dxa"/>
              <w:end w:w="80" w:type="dxa"/>
            </w:tcMar>
          </w:tcPr>
          <w:p>
            <w:pPr>
              <w:spacing w:after="20" w:line="240" w:lineRule="auto"/>
              <w:jc w:val="center"/>
            </w:pPr>
            <w:r>
              <w:rPr>
                <w:b/>
                <w:color w:val="FFFFFF"/>
                <w:sz w:val="17"/>
              </w:rPr>
              <w:t>Caller Meaning</w:t>
            </w:r>
          </w:p>
        </w:tc>
      </w:tr>
      <w:tr>
        <w:tc>
          <w:tcPr>
            <w:tcW w:type="dxa" w:w="2520"/>
            <w:tcMar>
              <w:top w:w="90" w:type="dxa"/>
              <w:start w:w="80" w:type="dxa"/>
              <w:bottom w:w="90" w:type="dxa"/>
              <w:end w:w="80" w:type="dxa"/>
            </w:tcMar>
            <w:vAlign w:val="center"/>
          </w:tcPr>
          <w:p>
            <w:pPr>
              <w:spacing w:after="20" w:line="240" w:lineRule="auto"/>
            </w:pPr>
            <w:r>
              <w:rPr>
                <w:sz w:val="16"/>
              </w:rPr>
              <w:t>Success</w:t>
            </w:r>
          </w:p>
        </w:tc>
        <w:tc>
          <w:tcPr>
            <w:tcW w:type="dxa" w:w="2520"/>
            <w:tcMar>
              <w:top w:w="90" w:type="dxa"/>
              <w:start w:w="80" w:type="dxa"/>
              <w:bottom w:w="90" w:type="dxa"/>
              <w:end w:w="80" w:type="dxa"/>
            </w:tcMar>
            <w:vAlign w:val="center"/>
          </w:tcPr>
          <w:p>
            <w:pPr>
              <w:spacing w:after="20" w:line="240" w:lineRule="auto"/>
            </w:pPr>
            <w:r>
              <w:rPr>
                <w:sz w:val="16"/>
              </w:rPr>
              <w:t>Member 12345 found</w:t>
            </w:r>
          </w:p>
        </w:tc>
        <w:tc>
          <w:tcPr>
            <w:tcW w:type="dxa" w:w="2520"/>
            <w:tcMar>
              <w:top w:w="90" w:type="dxa"/>
              <w:start w:w="80" w:type="dxa"/>
              <w:bottom w:w="90" w:type="dxa"/>
              <w:end w:w="80" w:type="dxa"/>
            </w:tcMar>
            <w:vAlign w:val="center"/>
          </w:tcPr>
          <w:p>
            <w:pPr>
              <w:spacing w:after="20" w:line="240" w:lineRule="auto"/>
            </w:pPr>
            <w:r>
              <w:rPr>
                <w:sz w:val="16"/>
              </w:rPr>
              <w:t>Return outputs after checkpoint</w:t>
            </w:r>
          </w:p>
        </w:tc>
        <w:tc>
          <w:tcPr>
            <w:tcW w:type="dxa" w:w="2520"/>
            <w:tcMar>
              <w:top w:w="90" w:type="dxa"/>
              <w:start w:w="80" w:type="dxa"/>
              <w:bottom w:w="90" w:type="dxa"/>
              <w:end w:w="80" w:type="dxa"/>
            </w:tcMar>
            <w:vAlign w:val="center"/>
          </w:tcPr>
          <w:p>
            <w:pPr>
              <w:spacing w:after="20" w:line="240" w:lineRule="auto"/>
            </w:pPr>
            <w:r>
              <w:rPr>
                <w:sz w:val="16"/>
              </w:rPr>
              <w:t>Capability completed.</w:t>
            </w:r>
          </w:p>
        </w:tc>
      </w:tr>
      <w:tr>
        <w:tc>
          <w:tcPr>
            <w:tcW w:type="dxa" w:w="2520"/>
            <w:tcMar>
              <w:top w:w="90" w:type="dxa"/>
              <w:start w:w="80" w:type="dxa"/>
              <w:bottom w:w="90" w:type="dxa"/>
              <w:end w:w="80" w:type="dxa"/>
            </w:tcMar>
            <w:vAlign w:val="center"/>
          </w:tcPr>
          <w:p>
            <w:pPr>
              <w:spacing w:after="20" w:line="240" w:lineRule="auto"/>
            </w:pPr>
            <w:r>
              <w:rPr>
                <w:sz w:val="16"/>
              </w:rPr>
              <w:t>Business outcome</w:t>
            </w:r>
          </w:p>
        </w:tc>
        <w:tc>
          <w:tcPr>
            <w:tcW w:type="dxa" w:w="2520"/>
            <w:tcMar>
              <w:top w:w="90" w:type="dxa"/>
              <w:start w:w="80" w:type="dxa"/>
              <w:bottom w:w="90" w:type="dxa"/>
              <w:end w:w="80" w:type="dxa"/>
            </w:tcMar>
            <w:vAlign w:val="center"/>
          </w:tcPr>
          <w:p>
            <w:pPr>
              <w:spacing w:after="20" w:line="240" w:lineRule="auto"/>
            </w:pPr>
            <w:r>
              <w:rPr>
                <w:sz w:val="16"/>
              </w:rPr>
              <w:t>Member 99999 not found</w:t>
            </w:r>
          </w:p>
        </w:tc>
        <w:tc>
          <w:tcPr>
            <w:tcW w:type="dxa" w:w="2520"/>
            <w:tcMar>
              <w:top w:w="90" w:type="dxa"/>
              <w:start w:w="80" w:type="dxa"/>
              <w:bottom w:w="90" w:type="dxa"/>
              <w:end w:w="80" w:type="dxa"/>
            </w:tcMar>
            <w:vAlign w:val="center"/>
          </w:tcPr>
          <w:p>
            <w:pPr>
              <w:spacing w:after="20" w:line="240" w:lineRule="auto"/>
            </w:pPr>
            <w:r>
              <w:rPr>
                <w:sz w:val="16"/>
              </w:rPr>
              <w:t>Return MEMBER_NOT_FOUND</w:t>
            </w:r>
          </w:p>
        </w:tc>
        <w:tc>
          <w:tcPr>
            <w:tcW w:type="dxa" w:w="2520"/>
            <w:tcMar>
              <w:top w:w="90" w:type="dxa"/>
              <w:start w:w="80" w:type="dxa"/>
              <w:bottom w:w="90" w:type="dxa"/>
              <w:end w:w="80" w:type="dxa"/>
            </w:tcMar>
            <w:vAlign w:val="center"/>
          </w:tcPr>
          <w:p>
            <w:pPr>
              <w:spacing w:after="20" w:line="240" w:lineRule="auto"/>
            </w:pPr>
            <w:r>
              <w:rPr>
                <w:sz w:val="16"/>
              </w:rPr>
              <w:t>Valid domain result, not a crash.</w:t>
            </w:r>
          </w:p>
        </w:tc>
      </w:tr>
      <w:tr>
        <w:tc>
          <w:tcPr>
            <w:tcW w:type="dxa" w:w="2520"/>
            <w:tcMar>
              <w:top w:w="90" w:type="dxa"/>
              <w:start w:w="80" w:type="dxa"/>
              <w:bottom w:w="90" w:type="dxa"/>
              <w:end w:w="80" w:type="dxa"/>
            </w:tcMar>
            <w:vAlign w:val="center"/>
          </w:tcPr>
          <w:p>
            <w:pPr>
              <w:spacing w:after="20" w:line="240" w:lineRule="auto"/>
            </w:pPr>
            <w:r>
              <w:rPr>
                <w:sz w:val="16"/>
              </w:rPr>
              <w:t>Recoverable</w:t>
            </w:r>
          </w:p>
        </w:tc>
        <w:tc>
          <w:tcPr>
            <w:tcW w:type="dxa" w:w="2520"/>
            <w:tcMar>
              <w:top w:w="90" w:type="dxa"/>
              <w:start w:w="80" w:type="dxa"/>
              <w:bottom w:w="90" w:type="dxa"/>
              <w:end w:w="80" w:type="dxa"/>
            </w:tcMar>
            <w:vAlign w:val="center"/>
          </w:tcPr>
          <w:p>
            <w:pPr>
              <w:spacing w:after="20" w:line="240" w:lineRule="auto"/>
            </w:pPr>
            <w:r>
              <w:rPr>
                <w:sz w:val="16"/>
              </w:rPr>
              <w:t>Transient load timeout</w:t>
            </w:r>
          </w:p>
        </w:tc>
        <w:tc>
          <w:tcPr>
            <w:tcW w:type="dxa" w:w="2520"/>
            <w:tcMar>
              <w:top w:w="90" w:type="dxa"/>
              <w:start w:w="80" w:type="dxa"/>
              <w:bottom w:w="90" w:type="dxa"/>
              <w:end w:w="80" w:type="dxa"/>
            </w:tcMar>
            <w:vAlign w:val="center"/>
          </w:tcPr>
          <w:p>
            <w:pPr>
              <w:spacing w:after="20" w:line="240" w:lineRule="auto"/>
            </w:pPr>
            <w:r>
              <w:rPr>
                <w:sz w:val="16"/>
              </w:rPr>
              <w:t>Wait and retry within a bound</w:t>
            </w:r>
          </w:p>
        </w:tc>
        <w:tc>
          <w:tcPr>
            <w:tcW w:type="dxa" w:w="2520"/>
            <w:tcMar>
              <w:top w:w="90" w:type="dxa"/>
              <w:start w:w="80" w:type="dxa"/>
              <w:bottom w:w="90" w:type="dxa"/>
              <w:end w:w="80" w:type="dxa"/>
            </w:tcMar>
            <w:vAlign w:val="center"/>
          </w:tcPr>
          <w:p>
            <w:pPr>
              <w:spacing w:after="20" w:line="240" w:lineRule="auto"/>
            </w:pPr>
            <w:r>
              <w:rPr>
                <w:sz w:val="16"/>
              </w:rPr>
              <w:t>Continue only if recovery succeeds.</w:t>
            </w:r>
          </w:p>
        </w:tc>
      </w:tr>
      <w:tr>
        <w:tc>
          <w:tcPr>
            <w:tcW w:type="dxa" w:w="2520"/>
            <w:tcMar>
              <w:top w:w="90" w:type="dxa"/>
              <w:start w:w="80" w:type="dxa"/>
              <w:bottom w:w="90" w:type="dxa"/>
              <w:end w:w="80" w:type="dxa"/>
            </w:tcMar>
            <w:vAlign w:val="center"/>
          </w:tcPr>
          <w:p>
            <w:pPr>
              <w:spacing w:after="20" w:line="240" w:lineRule="auto"/>
            </w:pPr>
            <w:r>
              <w:rPr>
                <w:sz w:val="16"/>
              </w:rPr>
              <w:t>Hard failure</w:t>
            </w:r>
          </w:p>
        </w:tc>
        <w:tc>
          <w:tcPr>
            <w:tcW w:type="dxa" w:w="2520"/>
            <w:tcMar>
              <w:top w:w="90" w:type="dxa"/>
              <w:start w:w="80" w:type="dxa"/>
              <w:bottom w:w="90" w:type="dxa"/>
              <w:end w:w="80" w:type="dxa"/>
            </w:tcMar>
            <w:vAlign w:val="center"/>
          </w:tcPr>
          <w:p>
            <w:pPr>
              <w:spacing w:after="20" w:line="240" w:lineRule="auto"/>
            </w:pPr>
            <w:r>
              <w:rPr>
                <w:sz w:val="16"/>
              </w:rPr>
              <w:t>Locator/checkpoint fails</w:t>
            </w:r>
          </w:p>
        </w:tc>
        <w:tc>
          <w:tcPr>
            <w:tcW w:type="dxa" w:w="2520"/>
            <w:tcMar>
              <w:top w:w="90" w:type="dxa"/>
              <w:start w:w="80" w:type="dxa"/>
              <w:bottom w:w="90" w:type="dxa"/>
              <w:end w:w="80" w:type="dxa"/>
            </w:tcMar>
            <w:vAlign w:val="center"/>
          </w:tcPr>
          <w:p>
            <w:pPr>
              <w:spacing w:after="20" w:line="240" w:lineRule="auto"/>
            </w:pPr>
            <w:r>
              <w:rPr>
                <w:sz w:val="16"/>
              </w:rPr>
              <w:t>Stop, log step + observed state + screenshot</w:t>
            </w:r>
          </w:p>
        </w:tc>
        <w:tc>
          <w:tcPr>
            <w:tcW w:type="dxa" w:w="2520"/>
            <w:tcMar>
              <w:top w:w="90" w:type="dxa"/>
              <w:start w:w="80" w:type="dxa"/>
              <w:bottom w:w="90" w:type="dxa"/>
              <w:end w:w="80" w:type="dxa"/>
            </w:tcMar>
            <w:vAlign w:val="center"/>
          </w:tcPr>
          <w:p>
            <w:pPr>
              <w:spacing w:after="20" w:line="240" w:lineRule="auto"/>
            </w:pPr>
            <w:r>
              <w:rPr>
                <w:sz w:val="16"/>
              </w:rPr>
              <w:t>Needs debugging or new capability version.</w:t>
            </w:r>
          </w:p>
        </w:tc>
      </w:tr>
      <w:tr>
        <w:tc>
          <w:tcPr>
            <w:tcW w:type="dxa" w:w="2520"/>
            <w:tcMar>
              <w:top w:w="90" w:type="dxa"/>
              <w:start w:w="80" w:type="dxa"/>
              <w:bottom w:w="90" w:type="dxa"/>
              <w:end w:w="80" w:type="dxa"/>
            </w:tcMar>
            <w:vAlign w:val="center"/>
          </w:tcPr>
          <w:p>
            <w:pPr>
              <w:spacing w:after="20" w:line="240" w:lineRule="auto"/>
            </w:pPr>
            <w:r>
              <w:rPr>
                <w:sz w:val="16"/>
              </w:rPr>
              <w:t>Escalation</w:t>
            </w:r>
          </w:p>
        </w:tc>
        <w:tc>
          <w:tcPr>
            <w:tcW w:type="dxa" w:w="2520"/>
            <w:tcMar>
              <w:top w:w="90" w:type="dxa"/>
              <w:start w:w="80" w:type="dxa"/>
              <w:bottom w:w="90" w:type="dxa"/>
              <w:end w:w="80" w:type="dxa"/>
            </w:tcMar>
            <w:vAlign w:val="center"/>
          </w:tcPr>
          <w:p>
            <w:pPr>
              <w:spacing w:after="20" w:line="240" w:lineRule="auto"/>
            </w:pPr>
            <w:r>
              <w:rPr>
                <w:sz w:val="16"/>
              </w:rPr>
              <w:t>Risky or ambiguous action</w:t>
            </w:r>
          </w:p>
        </w:tc>
        <w:tc>
          <w:tcPr>
            <w:tcW w:type="dxa" w:w="2520"/>
            <w:tcMar>
              <w:top w:w="90" w:type="dxa"/>
              <w:start w:w="80" w:type="dxa"/>
              <w:bottom w:w="90" w:type="dxa"/>
              <w:end w:w="80" w:type="dxa"/>
            </w:tcMar>
            <w:vAlign w:val="center"/>
          </w:tcPr>
          <w:p>
            <w:pPr>
              <w:spacing w:after="20" w:line="240" w:lineRule="auto"/>
            </w:pPr>
            <w:r>
              <w:rPr>
                <w:sz w:val="16"/>
              </w:rPr>
              <w:t>Pause and transfer live session to human</w:t>
            </w:r>
          </w:p>
        </w:tc>
        <w:tc>
          <w:tcPr>
            <w:tcW w:type="dxa" w:w="2520"/>
            <w:tcMar>
              <w:top w:w="90" w:type="dxa"/>
              <w:start w:w="80" w:type="dxa"/>
              <w:bottom w:w="90" w:type="dxa"/>
              <w:end w:w="80" w:type="dxa"/>
            </w:tcMar>
            <w:vAlign w:val="center"/>
          </w:tcPr>
          <w:p>
            <w:pPr>
              <w:spacing w:after="20" w:line="240" w:lineRule="auto"/>
            </w:pPr>
            <w:r>
              <w:rPr>
                <w:sz w:val="16"/>
              </w:rPr>
              <w:t>Human decides/acts, then automation may resume.</w:t>
            </w:r>
          </w:p>
        </w:tc>
      </w:tr>
    </w:tbl>
    <w:p>
      <w:pPr>
        <w:pStyle w:val="Heading2"/>
      </w:pPr>
      <w:r>
        <w:t>Locator strategy</w:t>
      </w:r>
    </w:p>
    <w:p>
      <w:pPr>
        <w:pStyle w:val="ListBullet"/>
        <w:spacing w:after="80"/>
      </w:pPr>
      <w:r>
        <w:t>Prefer semantic role + accessible name when available.</w:t>
      </w:r>
    </w:p>
    <w:p>
      <w:pPr>
        <w:pStyle w:val="ListBullet"/>
        <w:spacing w:after="80"/>
      </w:pPr>
      <w:r>
        <w:t>Use form label or visible text as the next fallback.</w:t>
      </w:r>
    </w:p>
    <w:p>
      <w:pPr>
        <w:pStyle w:val="ListBullet"/>
        <w:spacing w:after="80"/>
      </w:pPr>
      <w:r>
        <w:t>Keep a narrow CSS selector only as a last resort; do not rely on long generated XPath selectors.</w:t>
      </w:r>
    </w:p>
    <w:p>
      <w:pPr>
        <w:pStyle w:val="ListBullet"/>
        <w:spacing w:after="80"/>
      </w:pPr>
      <w:r>
        <w:t>Record more than one candidate so replay can degrade gracefully when markup differs slightly.</w:t>
      </w:r>
    </w:p>
    <w:p>
      <w:pPr>
        <w:pStyle w:val="ListBullet"/>
        <w:spacing w:after="80"/>
      </w:pPr>
      <w:r>
        <w:t>Treat repeated fallback usage as a drift signal that should lower confidence and trigger review.</w:t>
      </w:r>
    </w:p>
    <w:p>
      <w:pPr>
        <w:pStyle w:val="Heading2"/>
      </w:pPr>
      <w:r>
        <w:t>Observability</w:t>
      </w:r>
    </w:p>
    <w:p>
      <w:r>
        <w:t>Every run writes structured JSONL events. Discovery records the goal, observations at decision boundaries, model decisions, policy outcomes, and the final artifact. Replay records each executed step and the final result. Hard failures capture a screenshot and enough observed page text to understand what the executor saw.</w:t>
      </w:r>
    </w:p>
    <w:p>
      <w:pPr>
        <w:pStyle w:val="Heading1"/>
      </w:pPr>
      <w:r>
        <w:t>4. Human Handoff &amp; Safety Guardrails</w:t>
      </w:r>
    </w:p>
    <w:p>
      <w:pPr>
        <w:pStyle w:val="Heading2"/>
      </w:pPr>
      <w:r>
        <w:t>Same-session control transfer</w:t>
      </w:r>
    </w:p>
    <w:p>
      <w:r>
        <w:t>The handoff mechanism keeps the exact Playwright Page and browser context alive. When automation stops, it captures an intervention payload, marks the operator as the current controller, and exposes a local operator API. The operator uses /state, /click, and /type against that same page. /resume returns ownership to automation. Human actions are written into the same evidence log.</w:t>
      </w:r>
    </w:p>
    <w:p>
      <w:pPr>
        <w:spacing w:before="12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E2F0D9"/>
            <w:tcMar>
              <w:top w:w="180" w:type="dxa"/>
              <w:start w:w="100" w:type="dxa"/>
              <w:bottom w:w="180" w:type="dxa"/>
              <w:end w:w="100" w:type="dxa"/>
            </w:tcMar>
            <w:vAlign w:val="center"/>
          </w:tcPr>
          <w:p>
            <w:pPr>
              <w:spacing w:after="20" w:line="240" w:lineRule="auto"/>
              <w:jc w:val="center"/>
            </w:pPr>
            <w:r>
              <w:rPr>
                <w:b/>
                <w:sz w:val="17"/>
              </w:rPr>
              <w:t>Automation owns session</w:t>
            </w:r>
          </w:p>
        </w:tc>
        <w:tc>
          <w:tcPr>
            <w:tcW w:type="dxa" w:w="2520"/>
            <w:shd w:fill="FFF2CC"/>
            <w:tcMar>
              <w:top w:w="180" w:type="dxa"/>
              <w:start w:w="100" w:type="dxa"/>
              <w:bottom w:w="180" w:type="dxa"/>
              <w:end w:w="100" w:type="dxa"/>
            </w:tcMar>
            <w:vAlign w:val="center"/>
          </w:tcPr>
          <w:p>
            <w:pPr>
              <w:spacing w:after="20" w:line="240" w:lineRule="auto"/>
              <w:jc w:val="center"/>
            </w:pPr>
            <w:r>
              <w:rPr>
                <w:b/>
                <w:sz w:val="17"/>
              </w:rPr>
              <w:t>Pause + context package</w:t>
            </w:r>
          </w:p>
        </w:tc>
        <w:tc>
          <w:tcPr>
            <w:tcW w:type="dxa" w:w="2520"/>
            <w:shd w:fill="FFF2CC"/>
            <w:tcMar>
              <w:top w:w="180" w:type="dxa"/>
              <w:start w:w="100" w:type="dxa"/>
              <w:bottom w:w="180" w:type="dxa"/>
              <w:end w:w="100" w:type="dxa"/>
            </w:tcMar>
            <w:vAlign w:val="center"/>
          </w:tcPr>
          <w:p>
            <w:pPr>
              <w:spacing w:after="20" w:line="240" w:lineRule="auto"/>
              <w:jc w:val="center"/>
            </w:pPr>
            <w:r>
              <w:rPr>
                <w:b/>
                <w:sz w:val="17"/>
              </w:rPr>
              <w:t>Human operates same page</w:t>
            </w:r>
          </w:p>
        </w:tc>
        <w:tc>
          <w:tcPr>
            <w:tcW w:type="dxa" w:w="2520"/>
            <w:shd w:fill="E2F0D9"/>
            <w:tcMar>
              <w:top w:w="180" w:type="dxa"/>
              <w:start w:w="100" w:type="dxa"/>
              <w:bottom w:w="180" w:type="dxa"/>
              <w:end w:w="100" w:type="dxa"/>
            </w:tcMar>
            <w:vAlign w:val="center"/>
          </w:tcPr>
          <w:p>
            <w:pPr>
              <w:spacing w:after="20" w:line="240" w:lineRule="auto"/>
              <w:jc w:val="center"/>
            </w:pPr>
            <w:r>
              <w:rPr>
                <w:b/>
                <w:sz w:val="17"/>
              </w:rPr>
              <w:t>Resume automation</w:t>
            </w:r>
          </w:p>
        </w:tc>
      </w:tr>
    </w:tbl>
    <w:p>
      <w:pPr>
        <w:pStyle w:val="Heading2"/>
      </w:pPr>
      <w:r>
        <w:t>Guardrails</w:t>
      </w:r>
    </w:p>
    <w:p>
      <w:pPr>
        <w:pStyle w:val="ListBullet"/>
        <w:spacing w:after="80"/>
      </w:pPr>
      <w:r>
        <w:t>Explicit host allowlist: the runner may navigate only to configured target hosts.</w:t>
      </w:r>
    </w:p>
    <w:p>
      <w:pPr>
        <w:pStyle w:val="ListBullet"/>
        <w:spacing w:after="80"/>
      </w:pPr>
      <w:r>
        <w:t>Explicit action allowlist: only known computer-use action types are executable.</w:t>
      </w:r>
    </w:p>
    <w:p>
      <w:pPr>
        <w:pStyle w:val="ListBullet"/>
        <w:spacing w:after="80"/>
      </w:pPr>
      <w:r>
        <w:t>Risky/irreversible actions: account creation confirmation, transfers, deletion, and similar actions require a person rather than unattended execution.</w:t>
      </w:r>
    </w:p>
    <w:p>
      <w:pPr>
        <w:pStyle w:val="ListBullet"/>
        <w:spacing w:after="80"/>
      </w:pPr>
      <w:r>
        <w:t>Sensitive-data hygiene: parameter names are saved in artifacts; secrets and raw full PII are not meant to be persisted.</w:t>
      </w:r>
    </w:p>
    <w:p>
      <w:pPr>
        <w:pStyle w:val="ListBullet"/>
        <w:spacing w:after="80"/>
      </w:pPr>
      <w:r>
        <w:t>Evidence redaction: logs apply patterns for credentials, SSN-like values, and long card/account-number-like sequences before persistence.</w:t>
      </w:r>
    </w:p>
    <w:p>
      <w:pPr>
        <w:pStyle w:val="ListBullet"/>
        <w:spacing w:after="80"/>
      </w:pPr>
      <w:r>
        <w:t>Synthetic demo data only: the repository does not use a real banking system, real customer credentials, or real PII.</w:t>
      </w:r>
    </w:p>
    <w:p>
      <w:pPr>
        <w:pStyle w:val="Heading2"/>
      </w:pPr>
      <w:r>
        <w:t>Known safety limitation</w:t>
      </w:r>
    </w:p>
    <w:p>
      <w:r>
        <w:t>The sample risk classifier is intentionally simple and partly term-based. A real deployment should attach explicit risk metadata to app-family actions and enforce those policies server-side, use a secrets manager, encrypt evidence, apply retention limits, isolate tenant data, and authenticate/authorize every operator handoff.</w:t>
      </w:r>
    </w:p>
    <w:p>
      <w:pPr>
        <w:pStyle w:val="Heading1"/>
      </w:pPr>
      <w:r>
        <w:t>5. Heterogeneity &amp; Multi-Tenant Design</w:t>
      </w:r>
    </w:p>
    <w:p>
      <w:pPr>
        <w:pStyle w:val="Heading2"/>
      </w:pPr>
      <w:r>
        <w:t>Extending beyond modern web DOMs</w:t>
      </w:r>
    </w:p>
    <w:p>
      <w:r>
        <w:t>The replay contract does not contain Playwright code. It contains actions plus abstract locator candidates. This allows another Surface implementation to map the same capability to a legacy browser accessibility tree, a screenshot/vision coordinate system, Windows UI Automation, or another desktop automation layer.</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360"/>
            <w:shd w:fill="2F5597"/>
            <w:tcMar>
              <w:top w:w="100" w:type="dxa"/>
              <w:start w:w="100" w:type="dxa"/>
              <w:bottom w:w="100" w:type="dxa"/>
              <w:end w:w="100" w:type="dxa"/>
            </w:tcMar>
          </w:tcPr>
          <w:p>
            <w:pPr>
              <w:spacing w:after="20" w:line="240" w:lineRule="auto"/>
              <w:jc w:val="center"/>
            </w:pPr>
            <w:r>
              <w:rPr>
                <w:b/>
                <w:color w:val="FFFFFF"/>
                <w:sz w:val="18"/>
              </w:rPr>
              <w:t>Surface</w:t>
            </w:r>
          </w:p>
        </w:tc>
        <w:tc>
          <w:tcPr>
            <w:tcW w:type="dxa" w:w="3360"/>
            <w:shd w:fill="2F5597"/>
            <w:tcMar>
              <w:top w:w="100" w:type="dxa"/>
              <w:start w:w="100" w:type="dxa"/>
              <w:bottom w:w="100" w:type="dxa"/>
              <w:end w:w="100" w:type="dxa"/>
            </w:tcMar>
          </w:tcPr>
          <w:p>
            <w:pPr>
              <w:spacing w:after="20" w:line="240" w:lineRule="auto"/>
              <w:jc w:val="center"/>
            </w:pPr>
            <w:r>
              <w:rPr>
                <w:b/>
                <w:color w:val="FFFFFF"/>
                <w:sz w:val="18"/>
              </w:rPr>
              <w:t>Perception / Action Mechanism</w:t>
            </w:r>
          </w:p>
        </w:tc>
        <w:tc>
          <w:tcPr>
            <w:tcW w:type="dxa" w:w="3360"/>
            <w:shd w:fill="2F5597"/>
            <w:tcMar>
              <w:top w:w="100" w:type="dxa"/>
              <w:start w:w="100" w:type="dxa"/>
              <w:bottom w:w="100" w:type="dxa"/>
              <w:end w:w="100" w:type="dxa"/>
            </w:tcMar>
          </w:tcPr>
          <w:p>
            <w:pPr>
              <w:spacing w:after="20" w:line="240" w:lineRule="auto"/>
              <w:jc w:val="center"/>
            </w:pPr>
            <w:r>
              <w:rPr>
                <w:b/>
                <w:color w:val="FFFFFF"/>
                <w:sz w:val="18"/>
              </w:rPr>
              <w:t>Artifact Impact</w:t>
            </w:r>
          </w:p>
        </w:tc>
      </w:tr>
      <w:tr>
        <w:tc>
          <w:tcPr>
            <w:tcW w:type="dxa" w:w="3360"/>
            <w:tcMar>
              <w:top w:w="90" w:type="dxa"/>
              <w:start w:w="90" w:type="dxa"/>
              <w:bottom w:w="90" w:type="dxa"/>
              <w:end w:w="90" w:type="dxa"/>
            </w:tcMar>
            <w:vAlign w:val="center"/>
          </w:tcPr>
          <w:p>
            <w:pPr>
              <w:spacing w:after="20" w:line="240" w:lineRule="auto"/>
            </w:pPr>
            <w:r>
              <w:rPr>
                <w:sz w:val="16"/>
              </w:rPr>
              <w:t>Modern web</w:t>
            </w:r>
          </w:p>
        </w:tc>
        <w:tc>
          <w:tcPr>
            <w:tcW w:type="dxa" w:w="3360"/>
            <w:tcMar>
              <w:top w:w="90" w:type="dxa"/>
              <w:start w:w="90" w:type="dxa"/>
              <w:bottom w:w="90" w:type="dxa"/>
              <w:end w:w="90" w:type="dxa"/>
            </w:tcMar>
            <w:vAlign w:val="center"/>
          </w:tcPr>
          <w:p>
            <w:pPr>
              <w:spacing w:after="20" w:line="240" w:lineRule="auto"/>
            </w:pPr>
            <w:r>
              <w:rPr>
                <w:sz w:val="16"/>
              </w:rPr>
              <w:t>Role/name, label, text, CSS via Playwright</w:t>
            </w:r>
          </w:p>
        </w:tc>
        <w:tc>
          <w:tcPr>
            <w:tcW w:type="dxa" w:w="3360"/>
            <w:tcMar>
              <w:top w:w="90" w:type="dxa"/>
              <w:start w:w="90" w:type="dxa"/>
              <w:bottom w:w="90" w:type="dxa"/>
              <w:end w:w="90" w:type="dxa"/>
            </w:tcMar>
            <w:vAlign w:val="center"/>
          </w:tcPr>
          <w:p>
            <w:pPr>
              <w:spacing w:after="20" w:line="240" w:lineRule="auto"/>
            </w:pPr>
            <w:r>
              <w:rPr>
                <w:sz w:val="16"/>
              </w:rPr>
              <w:t>No schema change.</w:t>
            </w:r>
          </w:p>
        </w:tc>
      </w:tr>
      <w:tr>
        <w:tc>
          <w:tcPr>
            <w:tcW w:type="dxa" w:w="3360"/>
            <w:tcMar>
              <w:top w:w="90" w:type="dxa"/>
              <w:start w:w="90" w:type="dxa"/>
              <w:bottom w:w="90" w:type="dxa"/>
              <w:end w:w="90" w:type="dxa"/>
            </w:tcMar>
            <w:vAlign w:val="center"/>
          </w:tcPr>
          <w:p>
            <w:pPr>
              <w:spacing w:after="20" w:line="240" w:lineRule="auto"/>
            </w:pPr>
            <w:r>
              <w:rPr>
                <w:sz w:val="16"/>
              </w:rPr>
              <w:t>Legacy web</w:t>
            </w:r>
          </w:p>
        </w:tc>
        <w:tc>
          <w:tcPr>
            <w:tcW w:type="dxa" w:w="3360"/>
            <w:tcMar>
              <w:top w:w="90" w:type="dxa"/>
              <w:start w:w="90" w:type="dxa"/>
              <w:bottom w:w="90" w:type="dxa"/>
              <w:end w:w="90" w:type="dxa"/>
            </w:tcMar>
            <w:vAlign w:val="center"/>
          </w:tcPr>
          <w:p>
            <w:pPr>
              <w:spacing w:after="20" w:line="240" w:lineRule="auto"/>
            </w:pPr>
            <w:r>
              <w:rPr>
                <w:sz w:val="16"/>
              </w:rPr>
              <w:t>Frames, table anchors, accessibility, limited CSS</w:t>
            </w:r>
          </w:p>
        </w:tc>
        <w:tc>
          <w:tcPr>
            <w:tcW w:type="dxa" w:w="3360"/>
            <w:tcMar>
              <w:top w:w="90" w:type="dxa"/>
              <w:start w:w="90" w:type="dxa"/>
              <w:bottom w:w="90" w:type="dxa"/>
              <w:end w:w="90" w:type="dxa"/>
            </w:tcMar>
            <w:vAlign w:val="center"/>
          </w:tcPr>
          <w:p>
            <w:pPr>
              <w:spacing w:after="20" w:line="240" w:lineRule="auto"/>
            </w:pPr>
            <w:r>
              <w:rPr>
                <w:sz w:val="16"/>
              </w:rPr>
              <w:t>Add locator strategies/candidates.</w:t>
            </w:r>
          </w:p>
        </w:tc>
      </w:tr>
      <w:tr>
        <w:tc>
          <w:tcPr>
            <w:tcW w:type="dxa" w:w="3360"/>
            <w:tcMar>
              <w:top w:w="90" w:type="dxa"/>
              <w:start w:w="90" w:type="dxa"/>
              <w:bottom w:w="90" w:type="dxa"/>
              <w:end w:w="90" w:type="dxa"/>
            </w:tcMar>
            <w:vAlign w:val="center"/>
          </w:tcPr>
          <w:p>
            <w:pPr>
              <w:spacing w:after="20" w:line="240" w:lineRule="auto"/>
            </w:pPr>
            <w:r>
              <w:rPr>
                <w:sz w:val="16"/>
              </w:rPr>
              <w:t>Desktop app</w:t>
            </w:r>
          </w:p>
        </w:tc>
        <w:tc>
          <w:tcPr>
            <w:tcW w:type="dxa" w:w="3360"/>
            <w:tcMar>
              <w:top w:w="90" w:type="dxa"/>
              <w:start w:w="90" w:type="dxa"/>
              <w:bottom w:w="90" w:type="dxa"/>
              <w:end w:w="90" w:type="dxa"/>
            </w:tcMar>
            <w:vAlign w:val="center"/>
          </w:tcPr>
          <w:p>
            <w:pPr>
              <w:spacing w:after="20" w:line="240" w:lineRule="auto"/>
            </w:pPr>
            <w:r>
              <w:rPr>
                <w:sz w:val="16"/>
              </w:rPr>
              <w:t>OS accessibility tree / Windows UI Automation</w:t>
            </w:r>
          </w:p>
        </w:tc>
        <w:tc>
          <w:tcPr>
            <w:tcW w:type="dxa" w:w="3360"/>
            <w:tcMar>
              <w:top w:w="90" w:type="dxa"/>
              <w:start w:w="90" w:type="dxa"/>
              <w:bottom w:w="90" w:type="dxa"/>
              <w:end w:w="90" w:type="dxa"/>
            </w:tcMar>
            <w:vAlign w:val="center"/>
          </w:tcPr>
          <w:p>
            <w:pPr>
              <w:spacing w:after="20" w:line="240" w:lineRule="auto"/>
            </w:pPr>
            <w:r>
              <w:rPr>
                <w:sz w:val="16"/>
              </w:rPr>
              <w:t>New Surface adapter; same actions/results.</w:t>
            </w:r>
          </w:p>
        </w:tc>
      </w:tr>
      <w:tr>
        <w:tc>
          <w:tcPr>
            <w:tcW w:type="dxa" w:w="3360"/>
            <w:tcMar>
              <w:top w:w="90" w:type="dxa"/>
              <w:start w:w="90" w:type="dxa"/>
              <w:bottom w:w="90" w:type="dxa"/>
              <w:end w:w="90" w:type="dxa"/>
            </w:tcMar>
            <w:vAlign w:val="center"/>
          </w:tcPr>
          <w:p>
            <w:pPr>
              <w:spacing w:after="20" w:line="240" w:lineRule="auto"/>
            </w:pPr>
            <w:r>
              <w:rPr>
                <w:sz w:val="16"/>
              </w:rPr>
              <w:t>Vision-only</w:t>
            </w:r>
          </w:p>
        </w:tc>
        <w:tc>
          <w:tcPr>
            <w:tcW w:type="dxa" w:w="3360"/>
            <w:tcMar>
              <w:top w:w="90" w:type="dxa"/>
              <w:start w:w="90" w:type="dxa"/>
              <w:bottom w:w="90" w:type="dxa"/>
              <w:end w:w="90" w:type="dxa"/>
            </w:tcMar>
            <w:vAlign w:val="center"/>
          </w:tcPr>
          <w:p>
            <w:pPr>
              <w:spacing w:after="20" w:line="240" w:lineRule="auto"/>
            </w:pPr>
            <w:r>
              <w:rPr>
                <w:sz w:val="16"/>
              </w:rPr>
              <w:t>Screenshot anchors + coordinates</w:t>
            </w:r>
          </w:p>
        </w:tc>
        <w:tc>
          <w:tcPr>
            <w:tcW w:type="dxa" w:w="3360"/>
            <w:tcMar>
              <w:top w:w="90" w:type="dxa"/>
              <w:start w:w="90" w:type="dxa"/>
              <w:bottom w:w="90" w:type="dxa"/>
              <w:end w:w="90" w:type="dxa"/>
            </w:tcMar>
            <w:vAlign w:val="center"/>
          </w:tcPr>
          <w:p>
            <w:pPr>
              <w:spacing w:after="20" w:line="240" w:lineRule="auto"/>
            </w:pPr>
            <w:r>
              <w:rPr>
                <w:sz w:val="16"/>
              </w:rPr>
              <w:t>Add image/coordinate locator strategy.</w:t>
            </w:r>
          </w:p>
        </w:tc>
      </w:tr>
    </w:tbl>
    <w:p>
      <w:pPr>
        <w:pStyle w:val="Heading2"/>
      </w:pPr>
      <w:r>
        <w:t>Tenant reuse model</w:t>
      </w:r>
    </w:p>
    <w:p>
      <w:pPr>
        <w:pStyle w:val="ListBullet"/>
        <w:spacing w:after="80"/>
      </w:pPr>
      <w:r>
        <w:t>Store one base capability per app_family and vendor/version where possible.</w:t>
      </w:r>
    </w:p>
    <w:p>
      <w:pPr>
        <w:pStyle w:val="ListBullet"/>
        <w:spacing w:after="80"/>
      </w:pPr>
      <w:r>
        <w:t>Apply sparse tenant/version overrides only for known route, locator, or checkpoint differences.</w:t>
      </w:r>
    </w:p>
    <w:p>
      <w:pPr>
        <w:pStyle w:val="ListBullet"/>
        <w:spacing w:after="80"/>
      </w:pPr>
      <w:r>
        <w:t>Track replay health, fallback usage, and checkpoint failures to detect drift.</w:t>
      </w:r>
    </w:p>
    <w:p>
      <w:pPr>
        <w:pStyle w:val="ListBullet"/>
        <w:spacing w:after="80"/>
      </w:pPr>
      <w:r>
        <w:t>Promote capabilities through a draft/approved lifecycle after successful verification on the relevant app version.</w:t>
      </w:r>
    </w:p>
    <w:p>
      <w:pPr>
        <w:pStyle w:val="ListBullet"/>
        <w:spacing w:after="80"/>
      </w:pPr>
      <w:r>
        <w:t>Avoid rebuilding a full automation per institution unless the product really differs.</w:t>
      </w:r>
    </w:p>
    <w:p>
      <w:pPr>
        <w:pStyle w:val="Heading1"/>
      </w:pPr>
      <w:r>
        <w:t>6. Setup, Demo &amp; Verification Runbook</w:t>
      </w:r>
    </w:p>
    <w:p>
      <w:pPr>
        <w:pStyle w:val="Heading2"/>
      </w:pPr>
      <w:r>
        <w:t>Install</w:t>
      </w:r>
    </w:p>
    <w:p>
      <w:pPr>
        <w:pStyle w:val="CodeBlock"/>
      </w:pPr>
      <w:r>
        <w:rPr>
          <w:rFonts w:ascii="Consolas" w:hAnsi="Consolas"/>
          <w:sz w:val="17"/>
        </w:rPr>
        <w:t>python -m venv .venv</w:t>
        <w:br/>
        <w:t>source .venv/bin/activate        # Windows: .venv\Scripts\activate</w:t>
        <w:br/>
        <w:t>python -m pip install -e ".[dev]"</w:t>
        <w:br/>
        <w:t>python -m playwright install chromium</w:t>
      </w:r>
    </w:p>
    <w:p>
      <w:pPr>
        <w:pStyle w:val="Heading2"/>
      </w:pPr>
      <w:r>
        <w:t>Start the synthetic back-office application</w:t>
      </w:r>
    </w:p>
    <w:p>
      <w:pPr>
        <w:pStyle w:val="CodeBlock"/>
      </w:pPr>
      <w:r>
        <w:rPr>
          <w:rFonts w:ascii="Consolas" w:hAnsi="Consolas"/>
          <w:sz w:val="17"/>
        </w:rPr>
        <w:t>python -m app.legacy_app.app</w:t>
      </w:r>
    </w:p>
    <w:p>
      <w:pPr>
        <w:pStyle w:val="Heading2"/>
      </w:pPr>
      <w:r>
        <w:t>Run one genuine LLM discovery</w:t>
      </w:r>
    </w:p>
    <w:p>
      <w:r>
        <w:t>Configure AWS Bedrock credentials and the Claude model ID, then run:</w:t>
      </w:r>
    </w:p>
    <w:p>
      <w:pPr>
        <w:pStyle w:val="CodeBlock"/>
      </w:pPr>
      <w:r>
        <w:rPr>
          <w:rFonts w:ascii="Consolas" w:hAnsi="Consolas"/>
          <w:sz w:val="17"/>
        </w:rPr>
        <w:t>python scripts/run_discovery.py \</w:t>
        <w:br/>
        <w:t xml:space="preserve">  --goal 'Look up member ${member_id} and read the current savings balance' \</w:t>
        <w:br/>
        <w:t xml:space="preserve">  --target http://127.0.0.1:8001 \</w:t>
        <w:br/>
        <w:t xml:space="preserve">  --input member_id=12345 \</w:t>
        <w:br/>
        <w:t xml:space="preserve">  --artifact evidence/discovered_capability.json</w:t>
      </w:r>
    </w:p>
    <w:p>
      <w:r>
        <w:t>This real discovery run is mandatory before final submission. The code repository does not invent or fake an LLM-run log; the submitter must create evidence/discovery_live.jsonl using valid Bedrock access.</w:t>
      </w:r>
    </w:p>
    <w:p>
      <w:pPr>
        <w:pStyle w:val="Heading2"/>
      </w:pPr>
      <w:r>
        <w:t>Replay without an LLM</w:t>
      </w:r>
    </w:p>
    <w:p>
      <w:pPr>
        <w:pStyle w:val="CodeBlock"/>
      </w:pPr>
      <w:r>
        <w:rPr>
          <w:rFonts w:ascii="Consolas" w:hAnsi="Consolas"/>
          <w:sz w:val="17"/>
        </w:rPr>
        <w:t>python scripts/run_replay.py \</w:t>
        <w:br/>
        <w:t xml:space="preserve">  --artifact evidence/example_capability.json \</w:t>
        <w:br/>
        <w:t xml:space="preserve">  --input member_id=12345 \</w:t>
        <w:br/>
        <w:t xml:space="preserve">  --evidence evidence/replay_success.jsonl</w:t>
      </w:r>
    </w:p>
    <w:p>
      <w:pPr>
        <w:pStyle w:val="Heading2"/>
      </w:pPr>
      <w:r>
        <w:t>Show a known business outcome</w:t>
      </w:r>
    </w:p>
    <w:p>
      <w:pPr>
        <w:pStyle w:val="CodeBlock"/>
      </w:pPr>
      <w:r>
        <w:rPr>
          <w:rFonts w:ascii="Consolas" w:hAnsi="Consolas"/>
          <w:sz w:val="17"/>
        </w:rPr>
        <w:t>python scripts/run_replay.py \</w:t>
        <w:br/>
        <w:t xml:space="preserve">  --artifact evidence/example_capability.json \</w:t>
        <w:br/>
        <w:t xml:space="preserve">  --input member_id=99999 \</w:t>
        <w:br/>
        <w:t xml:space="preserve">  --evidence evidence/replay_not_found.jsonl</w:t>
      </w:r>
    </w:p>
    <w:p>
      <w:pPr>
        <w:pStyle w:val="Heading2"/>
      </w:pPr>
      <w:r>
        <w:t>Run tests</w:t>
      </w:r>
    </w:p>
    <w:p>
      <w:pPr>
        <w:pStyle w:val="CodeBlock"/>
      </w:pPr>
      <w:r>
        <w:rPr>
          <w:rFonts w:ascii="Consolas" w:hAnsi="Consolas"/>
          <w:sz w:val="17"/>
        </w:rPr>
        <w:t>pytest -q</w:t>
      </w:r>
    </w:p>
    <w:p>
      <w:pPr>
        <w:pStyle w:val="Heading2"/>
      </w:pPr>
      <w:r>
        <w:t>Expected evidence</w:t>
      </w:r>
    </w:p>
    <w:p>
      <w:pPr>
        <w:pStyle w:val="ListBullet"/>
        <w:spacing w:after="80"/>
      </w:pPr>
      <w:r>
        <w:t>A generated capability JSON from the live LLM discovery.</w:t>
      </w:r>
    </w:p>
    <w:p>
      <w:pPr>
        <w:pStyle w:val="ListBullet"/>
        <w:spacing w:after="80"/>
      </w:pPr>
      <w:r>
        <w:t>A discovery JSONL log containing real agent_decision events.</w:t>
      </w:r>
    </w:p>
    <w:p>
      <w:pPr>
        <w:pStyle w:val="ListBullet"/>
        <w:spacing w:after="80"/>
      </w:pPr>
      <w:r>
        <w:t>A deterministic replay success log.</w:t>
      </w:r>
    </w:p>
    <w:p>
      <w:pPr>
        <w:pStyle w:val="ListBullet"/>
        <w:spacing w:after="80"/>
      </w:pPr>
      <w:r>
        <w:t>A replay business-outcome or failure log.</w:t>
      </w:r>
    </w:p>
    <w:p>
      <w:pPr>
        <w:pStyle w:val="ListBullet"/>
        <w:spacing w:after="80"/>
      </w:pPr>
      <w:r>
        <w:t>A screenshot on failure or handoff where applicable.</w:t>
      </w:r>
    </w:p>
    <w:p>
      <w:pPr>
        <w:pStyle w:val="Heading1"/>
      </w:pPr>
      <w:r>
        <w:t>7. Cuts, Next Steps &amp; Submission Checklist</w:t>
      </w:r>
    </w:p>
    <w:p>
      <w:pPr>
        <w:pStyle w:val="Heading2"/>
      </w:pPr>
      <w:r>
        <w:t>Deliberate cuts</w:t>
      </w:r>
    </w:p>
    <w:p>
      <w:r>
        <w:t>The project does not build queues, Kubernetes infrastructure, a production database, a desktop adapter, or a rich co-browsing console. Those would add breadth but not improve the core evaluation as much as a strong artifact contract, deterministic replay path, error model, safety policy, and control-transfer seam.</w:t>
      </w:r>
    </w:p>
    <w:p>
      <w:pPr>
        <w:pStyle w:val="Heading2"/>
      </w:pPr>
      <w:r>
        <w:t>Next engineering steps</w:t>
      </w:r>
    </w:p>
    <w:p>
      <w:pPr>
        <w:pStyle w:val="ListBullet"/>
        <w:spacing w:after="80"/>
      </w:pPr>
      <w:r>
        <w:t>Move business-state detection into per-app-family adapters with known recovery recipes.</w:t>
      </w:r>
    </w:p>
    <w:p>
      <w:pPr>
        <w:pStyle w:val="ListBullet"/>
        <w:spacing w:after="80"/>
      </w:pPr>
      <w:r>
        <w:t>Add accessibility-tree and frame-aware observation for hostile legacy web surfaces.</w:t>
      </w:r>
    </w:p>
    <w:p>
      <w:pPr>
        <w:pStyle w:val="ListBullet"/>
        <w:spacing w:after="80"/>
      </w:pPr>
      <w:r>
        <w:t>Replace term-based risk detection with explicit app/action policy metadata.</w:t>
      </w:r>
    </w:p>
    <w:p>
      <w:pPr>
        <w:pStyle w:val="ListBullet"/>
        <w:spacing w:after="80"/>
      </w:pPr>
      <w:r>
        <w:t>Add authenticated WebSocket operator streaming with identity, leases, and audit trails.</w:t>
      </w:r>
    </w:p>
    <w:p>
      <w:pPr>
        <w:pStyle w:val="ListBullet"/>
        <w:spacing w:after="80"/>
      </w:pPr>
      <w:r>
        <w:t>Run repeated replays to calculate stability confidence and approval thresholds.</w:t>
      </w:r>
    </w:p>
    <w:p>
      <w:pPr>
        <w:pStyle w:val="ListBullet"/>
        <w:spacing w:after="80"/>
      </w:pPr>
      <w:r>
        <w:t>Expose approved artifacts through a small typed capability catalog API.</w:t>
      </w:r>
    </w:p>
    <w:p>
      <w:pPr>
        <w:pStyle w:val="Heading2"/>
      </w:pPr>
      <w:r>
        <w:t>Before sending to interface.ai</w:t>
      </w:r>
    </w:p>
    <w:p>
      <w:pPr>
        <w:pStyle w:val="ListBullet"/>
        <w:spacing w:after="80"/>
      </w:pPr>
      <w:r>
        <w:rPr>
          <w:b/>
        </w:rPr>
        <w:t xml:space="preserve">☐ </w:t>
      </w:r>
      <w:r>
        <w:t>Run the genuine Bedrock discovery and keep the real evidence files.</w:t>
      </w:r>
    </w:p>
    <w:p>
      <w:pPr>
        <w:pStyle w:val="ListBullet"/>
        <w:spacing w:after="80"/>
      </w:pPr>
      <w:r>
        <w:rPr>
          <w:b/>
        </w:rPr>
        <w:t xml:space="preserve">☐ </w:t>
      </w:r>
      <w:r>
        <w:t>Replay the generated artifact and validate the output/checkpoint.</w:t>
      </w:r>
    </w:p>
    <w:p>
      <w:pPr>
        <w:pStyle w:val="ListBullet"/>
        <w:spacing w:after="80"/>
      </w:pPr>
      <w:r>
        <w:rPr>
          <w:b/>
        </w:rPr>
        <w:t xml:space="preserve">☐ </w:t>
      </w:r>
      <w:r>
        <w:t>Run pytest -q and confirm all tests pass.</w:t>
      </w:r>
    </w:p>
    <w:p>
      <w:pPr>
        <w:pStyle w:val="ListBullet"/>
        <w:spacing w:after="80"/>
      </w:pPr>
      <w:r>
        <w:rPr>
          <w:b/>
        </w:rPr>
        <w:t xml:space="preserve">☐ </w:t>
      </w:r>
      <w:r>
        <w:t>Review README.md and REPORT.md so every design choice can be defended in a follow-up conversation.</w:t>
      </w:r>
    </w:p>
    <w:p>
      <w:pPr>
        <w:pStyle w:val="ListBullet"/>
        <w:spacing w:after="80"/>
      </w:pPr>
      <w:r>
        <w:rPr>
          <w:b/>
        </w:rPr>
        <w:t xml:space="preserve">☐ </w:t>
      </w:r>
      <w:r>
        <w:t>Remove .env files, credentials, caches, and any sensitive screenshots.</w:t>
      </w:r>
    </w:p>
    <w:p>
      <w:pPr>
        <w:pStyle w:val="ListBullet"/>
        <w:spacing w:after="80"/>
      </w:pPr>
      <w:r>
        <w:rPr>
          <w:b/>
        </w:rPr>
        <w:t xml:space="preserve">☐ </w:t>
      </w:r>
      <w:r>
        <w:t>Push the complete project to a public GitHub repository.</w:t>
      </w:r>
    </w:p>
    <w:p>
      <w:pPr>
        <w:pStyle w:val="ListBullet"/>
        <w:spacing w:after="80"/>
      </w:pPr>
      <w:r>
        <w:rPr>
          <w:b/>
        </w:rPr>
        <w:t xml:space="preserve">☐ </w:t>
      </w:r>
      <w:r>
        <w:t>Email only the public repository URL from the application email address.</w:t>
      </w:r>
    </w:p>
    <w:p>
      <w:pPr>
        <w:spacing w:before="240"/>
      </w:pPr>
      <w:r>
        <w:rPr>
          <w:b/>
          <w:color w:val="C0504D"/>
        </w:rPr>
        <w:t xml:space="preserve">Submission reminder: </w:t>
      </w:r>
      <w:r>
        <w:t>the assignment instructions request a public GitHub repository and explicitly say not to email a ZIP. The ZIP supplied with this documentation is for local transfer and review only.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Computer-Use Automation System   |   Raja Mohan Koushik Dontikurthi</w:t>
    </w:r>
  </w:p>
  <w:p>
    <w:pPr>
      <w:jc w:val="right"/>
    </w:pPr>
    <w:r>
      <w:rPr>
        <w:color w:val="646464"/>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Computer-Use Automation System - Technical Documentation</dc:title>
  <dc:subject>interface.ai take-home assessment</dc:subject>
  <dc:creator>Raja Mohan Koushik Dontikurthi</dc:creator>
  <cp:keywords/>
  <dc:description>generated by python-docx</dc:description>
  <cp:lastModifiedBy/>
  <cp:revision>1</cp:revision>
  <dcterms:created xsi:type="dcterms:W3CDTF">2013-12-23T23:15:00Z</dcterms:created>
  <dcterms:modified xsi:type="dcterms:W3CDTF">2013-12-23T23:15:00Z</dcterms:modified>
  <cp:category/>
</cp:coreProperties>
</file>