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SIMATS ENGINEERING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ASSESSMENT TOOL 3</w:t>
      </w:r>
    </w:p>
    <w:p>
      <w:pPr>
        <w:spacing w:after="60"/>
      </w:pPr>
      <w:r>
        <w:rPr>
          <w:b/>
          <w:bCs/>
        </w:rPr>
        <w:t xml:space="preserve">COURSE CODE: </w:t>
      </w:r>
      <w:r>
        <w:t xml:space="preserve">CSA1407      </w:t>
      </w:r>
      <w:r>
        <w:rPr>
          <w:b/>
          <w:bCs/>
        </w:rPr>
        <w:t xml:space="preserve">COURSE NAME: </w:t>
      </w:r>
      <w:r>
        <w:t xml:space="preserve">Compiler Design for High-Level Programming</w:t>
      </w:r>
    </w:p>
    <w:p>
      <w:pPr>
        <w:pBdr>
          <w:bottom w:val="single" w:color="1F3864" w:sz="12"/>
        </w:pBd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1F3864"/>
        </w:rPr>
        <w:t xml:space="preserve">COURSE OUTCOME COVERED</w:t>
      </w:r>
    </w:p>
    <w:p>
      <w:pPr>
        <w:spacing w:after="120" w:line="300"/>
      </w:pPr>
      <w:r>
        <w:t xml:space="preserve">CO3: Analyze syntax-directed translation method using synthesized and inherited attributes to generate a Parser Tree. (BL4)</w:t>
      </w:r>
    </w:p>
    <w:p>
      <w:pPr>
        <w:spacing w:after="120" w:line="300"/>
      </w:pPr>
      <w:r>
        <w:t xml:space="preserve">Assessment Tool Weightage: 10%</w:t>
      </w:r>
    </w:p>
    <w:p>
      <w:pPr>
        <w:spacing w:after="200"/>
      </w:pPr>
      <w:r>
        <w:rPr>
          <w:b/>
          <w:bCs/>
        </w:rPr>
        <w:t xml:space="preserve">QUESTIONS: 60</w:t>
      </w:r>
      <w:r>
        <w:t xml:space="preserve">                                                                      </w:t>
      </w:r>
      <w:r>
        <w:rPr>
          <w:b/>
          <w:bCs/>
        </w:rPr>
        <w:t xml:space="preserve">Total Marks: 60</w:t>
      </w:r>
    </w:p>
    <w:p>
      <w:pPr>
        <w:spacing w:after="200"/>
        <w:jc w:val="center"/>
      </w:pPr>
      <w:r>
        <w:rPr>
          <w:b/>
          <w:bCs/>
        </w:rPr>
        <w:t xml:space="preserve">Annexure A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MCQ</w:t>
      </w:r>
    </w:p>
    <w:p>
      <w:pPr>
        <w:pStyle w:val="Heading2"/>
        <w:spacing w:after="120" w:before="300"/>
      </w:pPr>
      <w:r>
        <w:rPr>
          <w:b/>
          <w:bCs/>
          <w:color w:val="1F3864"/>
        </w:rPr>
        <w:t xml:space="preserve">Code of Conduct:</w:t>
      </w:r>
    </w:p>
    <w:p>
      <w:pPr>
        <w:spacing w:after="120" w:line="300"/>
      </w:pPr>
      <w:r>
        <w:t xml:space="preserve">I Koushik P (Reg No: 192421178) certify that this submission is my original work and that I have adhered to the guidelines specified for this assessment.</w:t>
      </w:r>
    </w:p>
    <w:p>
      <w:pPr>
        <w:spacing w:after="120" w:line="300"/>
      </w:pPr>
      <w:r>
        <w:t xml:space="preserve">I understand that any violation of academic integrity rules will result in disciplinary action.</w:t>
      </w:r>
    </w:p>
    <w:p>
      <w:pPr>
        <w:spacing w:after="400" w:before="200"/>
      </w:pPr>
      <w:r>
        <w:rPr>
          <w:b/>
          <w:bCs/>
        </w:rPr>
        <w:t xml:space="preserve">Signature of the student: </w:t>
      </w:r>
      <w:r>
        <w:t xml:space="preserve">Koushik P</w:t>
      </w:r>
    </w:p>
    <w:p>
      <w:pPr>
        <w:pStyle w:val="Heading2"/>
        <w:spacing w:after="120" w:before="300"/>
      </w:pPr>
      <w:r>
        <w:rPr>
          <w:b/>
          <w:bCs/>
          <w:color w:val="1F3864"/>
        </w:rPr>
        <w:t xml:space="preserve">Answer Key (Q1–Q55)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50"/>
        <w:gridCol w:w="600"/>
        <w:gridCol w:w="4650"/>
      </w:tblGrid>
      <w:tr>
        <w:trPr>
          <w:tblHeader/>
        </w:trPr>
        <w:tc>
          <w:tcPr>
            <w:tcW w:type="dxa" w:w="6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Q.No</w:t>
            </w:r>
          </w:p>
        </w:tc>
        <w:tc>
          <w:tcPr>
            <w:tcW w:type="dxa" w:w="465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  <w:tc>
          <w:tcPr>
            <w:tcW w:type="dxa" w:w="6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Q.No</w:t>
            </w:r>
          </w:p>
        </w:tc>
        <w:tc>
          <w:tcPr>
            <w:tcW w:type="dxa" w:w="465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4650"/>
            <w:vAlign w:val="center"/>
          </w:tcPr>
          <w:p>
            <w:r>
              <w:t xml:space="preserve">B) Associating semantic rules with grammar productions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4650"/>
            <w:vAlign w:val="center"/>
          </w:tcPr>
          <w:p>
            <w:r>
              <w:t xml:space="preserve">C) Syntax Tree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4650"/>
            <w:vAlign w:val="center"/>
          </w:tcPr>
          <w:p>
            <w:r>
              <w:t xml:space="preserve">B) Synthesized attribute evaluation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4650"/>
            <w:vAlign w:val="center"/>
          </w:tcPr>
          <w:p>
            <w:r>
              <w:t xml:space="preserve">C) S-attributed definition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4650"/>
            <w:vAlign w:val="center"/>
          </w:tcPr>
          <w:p>
            <w:r>
              <w:t xml:space="preserve">C) L-attributed definition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4650"/>
            <w:vAlign w:val="center"/>
          </w:tcPr>
          <w:p>
            <w:r>
              <w:t xml:space="preserve">C) Postorder traversal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4650"/>
            <w:vAlign w:val="center"/>
          </w:tcPr>
          <w:p>
            <w:r>
              <w:t xml:space="preserve">B) Hierarchical program structure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4650"/>
            <w:vAlign w:val="center"/>
          </w:tcPr>
          <w:p>
            <w:r>
              <w:t xml:space="preserve">C) Inherited attribute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4650"/>
            <w:vAlign w:val="center"/>
          </w:tcPr>
          <w:p>
            <w:r>
              <w:t xml:space="preserve">B) Type system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4650"/>
            <w:vAlign w:val="center"/>
          </w:tcPr>
          <w:p>
            <w:r>
              <w:t xml:space="preserve">C) Implicit type conversion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4650"/>
            <w:vAlign w:val="center"/>
          </w:tcPr>
          <w:p>
            <w:r>
              <w:t xml:space="preserve">C) Semantic Analysis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4650"/>
            <w:vAlign w:val="center"/>
          </w:tcPr>
          <w:p>
            <w:r>
              <w:t xml:space="preserve">B) Syntax Tree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4650"/>
            <w:vAlign w:val="center"/>
          </w:tcPr>
          <w:p>
            <w:r>
              <w:t xml:space="preserve">B) Symbol Table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4650"/>
            <w:vAlign w:val="center"/>
          </w:tcPr>
          <w:p>
            <w:r>
              <w:t xml:space="preserve">C) S-attributed grammar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4650"/>
            <w:vAlign w:val="center"/>
          </w:tcPr>
          <w:p>
            <w:r>
              <w:t xml:space="preserve">B) Top-down translation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16</w:t>
            </w:r>
          </w:p>
        </w:tc>
        <w:tc>
          <w:tcPr>
            <w:tcW w:type="dxa" w:w="4650"/>
            <w:vAlign w:val="center"/>
          </w:tcPr>
          <w:p>
            <w:r>
              <w:t xml:space="preserve">C) Stack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17</w:t>
            </w:r>
          </w:p>
        </w:tc>
        <w:tc>
          <w:tcPr>
            <w:tcW w:type="dxa" w:w="4650"/>
            <w:vAlign w:val="center"/>
          </w:tcPr>
          <w:p>
            <w:r>
              <w:t xml:space="preserve">B) Type checking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18</w:t>
            </w:r>
          </w:p>
        </w:tc>
        <w:tc>
          <w:tcPr>
            <w:tcW w:type="dxa" w:w="4650"/>
            <w:vAlign w:val="center"/>
          </w:tcPr>
          <w:p>
            <w:r>
              <w:t xml:space="preserve">B) Integer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19</w:t>
            </w:r>
          </w:p>
        </w:tc>
        <w:tc>
          <w:tcPr>
            <w:tcW w:type="dxa" w:w="4650"/>
            <w:vAlign w:val="center"/>
          </w:tcPr>
          <w:p>
            <w:r>
              <w:t xml:space="preserve">B) Structural equivalence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20</w:t>
            </w:r>
          </w:p>
        </w:tc>
        <w:tc>
          <w:tcPr>
            <w:tcW w:type="dxa" w:w="4650"/>
            <w:vAlign w:val="center"/>
          </w:tcPr>
          <w:p>
            <w:r>
              <w:t xml:space="preserve">C) Bottom-up evaluation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21</w:t>
            </w:r>
          </w:p>
        </w:tc>
        <w:tc>
          <w:tcPr>
            <w:tcW w:type="dxa" w:w="4650"/>
            <w:vAlign w:val="center"/>
          </w:tcPr>
          <w:p>
            <w:r>
              <w:t xml:space="preserve">C) Syntax Tree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22</w:t>
            </w:r>
          </w:p>
        </w:tc>
        <w:tc>
          <w:tcPr>
            <w:tcW w:type="dxa" w:w="4650"/>
            <w:vAlign w:val="center"/>
          </w:tcPr>
          <w:p>
            <w:r>
              <w:t xml:space="preserve">B) L-attributed grammar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23</w:t>
            </w:r>
          </w:p>
        </w:tc>
        <w:tc>
          <w:tcPr>
            <w:tcW w:type="dxa" w:w="4650"/>
            <w:vAlign w:val="center"/>
          </w:tcPr>
          <w:p>
            <w:r>
              <w:t xml:space="preserve">B) Intermediate Code Generation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24</w:t>
            </w:r>
          </w:p>
        </w:tc>
        <w:tc>
          <w:tcPr>
            <w:tcW w:type="dxa" w:w="4650"/>
            <w:vAlign w:val="center"/>
          </w:tcPr>
          <w:p>
            <w:r>
              <w:t xml:space="preserve">C) Casting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25</w:t>
            </w:r>
          </w:p>
        </w:tc>
        <w:tc>
          <w:tcPr>
            <w:tcW w:type="dxa" w:w="4650"/>
            <w:vAlign w:val="center"/>
          </w:tcPr>
          <w:p>
            <w:r>
              <w:t xml:space="preserve">C) Lexical Analysis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26</w:t>
            </w:r>
          </w:p>
        </w:tc>
        <w:tc>
          <w:tcPr>
            <w:tcW w:type="dxa" w:w="4650"/>
            <w:vAlign w:val="center"/>
          </w:tcPr>
          <w:p>
            <w:r>
              <w:t xml:space="preserve">B) Represents grammar symbols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27</w:t>
            </w:r>
          </w:p>
        </w:tc>
        <w:tc>
          <w:tcPr>
            <w:tcW w:type="dxa" w:w="4650"/>
            <w:vAlign w:val="center"/>
          </w:tcPr>
          <w:p>
            <w:r>
              <w:t xml:space="preserve">C) Leaf nodes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28</w:t>
            </w:r>
          </w:p>
        </w:tc>
        <w:tc>
          <w:tcPr>
            <w:tcW w:type="dxa" w:w="4650"/>
            <w:vAlign w:val="center"/>
          </w:tcPr>
          <w:p>
            <w:r>
              <w:t xml:space="preserve">B) Semantic checker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29</w:t>
            </w:r>
          </w:p>
        </w:tc>
        <w:tc>
          <w:tcPr>
            <w:tcW w:type="dxa" w:w="4650"/>
            <w:vAlign w:val="center"/>
          </w:tcPr>
          <w:p>
            <w:r>
              <w:t xml:space="preserve">C) Name equivalence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30</w:t>
            </w:r>
          </w:p>
        </w:tc>
        <w:tc>
          <w:tcPr>
            <w:tcW w:type="dxa" w:w="4650"/>
            <w:vAlign w:val="center"/>
          </w:tcPr>
          <w:p>
            <w:r>
              <w:t xml:space="preserve">C) Postorder traversal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31</w:t>
            </w:r>
          </w:p>
        </w:tc>
        <w:tc>
          <w:tcPr>
            <w:tcW w:type="dxa" w:w="4650"/>
            <w:vAlign w:val="center"/>
          </w:tcPr>
          <w:p>
            <w:r>
              <w:t xml:space="preserve">A) Syntax-directed translation scheme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32</w:t>
            </w:r>
          </w:p>
        </w:tc>
        <w:tc>
          <w:tcPr>
            <w:tcW w:type="dxa" w:w="4650"/>
            <w:vAlign w:val="center"/>
          </w:tcPr>
          <w:p>
            <w:r>
              <w:t xml:space="preserve">C) Bottom-up parsing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33</w:t>
            </w:r>
          </w:p>
        </w:tc>
        <w:tc>
          <w:tcPr>
            <w:tcW w:type="dxa" w:w="4650"/>
            <w:vAlign w:val="center"/>
          </w:tcPr>
          <w:p>
            <w:r>
              <w:t xml:space="preserve">A) Type system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34</w:t>
            </w:r>
          </w:p>
        </w:tc>
        <w:tc>
          <w:tcPr>
            <w:tcW w:type="dxa" w:w="4650"/>
            <w:vAlign w:val="center"/>
          </w:tcPr>
          <w:p>
            <w:r>
              <w:t xml:space="preserve">B) Derived datatype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35</w:t>
            </w:r>
          </w:p>
        </w:tc>
        <w:tc>
          <w:tcPr>
            <w:tcW w:type="dxa" w:w="4650"/>
            <w:vAlign w:val="center"/>
          </w:tcPr>
          <w:p>
            <w:r>
              <w:t xml:space="preserve">C) Entire expression or statement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36</w:t>
            </w:r>
          </w:p>
        </w:tc>
        <w:tc>
          <w:tcPr>
            <w:tcW w:type="dxa" w:w="4650"/>
            <w:vAlign w:val="center"/>
          </w:tcPr>
          <w:p>
            <w:r>
              <w:t xml:space="preserve">B) Semantic Analysis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37</w:t>
            </w:r>
          </w:p>
        </w:tc>
        <w:tc>
          <w:tcPr>
            <w:tcW w:type="dxa" w:w="4650"/>
            <w:vAlign w:val="center"/>
          </w:tcPr>
          <w:p>
            <w:r>
              <w:t xml:space="preserve">B) Implicit widening conversion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38</w:t>
            </w:r>
          </w:p>
        </w:tc>
        <w:tc>
          <w:tcPr>
            <w:tcW w:type="dxa" w:w="4650"/>
            <w:vAlign w:val="center"/>
          </w:tcPr>
          <w:p>
            <w:r>
              <w:t xml:space="preserve">B) L-attributed grammar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39</w:t>
            </w:r>
          </w:p>
        </w:tc>
        <w:tc>
          <w:tcPr>
            <w:tcW w:type="dxa" w:w="4650"/>
            <w:vAlign w:val="center"/>
          </w:tcPr>
          <w:p>
            <w:r>
              <w:t xml:space="preserve">C) LR parser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40</w:t>
            </w:r>
          </w:p>
        </w:tc>
        <w:tc>
          <w:tcPr>
            <w:tcW w:type="dxa" w:w="4650"/>
            <w:vAlign w:val="center"/>
          </w:tcPr>
          <w:p>
            <w:r>
              <w:t xml:space="preserve">B) Grammar productions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41</w:t>
            </w:r>
          </w:p>
        </w:tc>
        <w:tc>
          <w:tcPr>
            <w:tcW w:type="dxa" w:w="4650"/>
            <w:vAlign w:val="center"/>
          </w:tcPr>
          <w:p>
            <w:r>
              <w:t xml:space="preserve">C) Synthesized attribute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42</w:t>
            </w:r>
          </w:p>
        </w:tc>
        <w:tc>
          <w:tcPr>
            <w:tcW w:type="dxa" w:w="4650"/>
            <w:vAlign w:val="center"/>
          </w:tcPr>
          <w:p>
            <w:r>
              <w:t xml:space="preserve">B) Syntax Tree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43</w:t>
            </w:r>
          </w:p>
        </w:tc>
        <w:tc>
          <w:tcPr>
            <w:tcW w:type="dxa" w:w="4650"/>
            <w:vAlign w:val="center"/>
          </w:tcPr>
          <w:p>
            <w:r>
              <w:t xml:space="preserve">C) Semantic Analysis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44</w:t>
            </w:r>
          </w:p>
        </w:tc>
        <w:tc>
          <w:tcPr>
            <w:tcW w:type="dxa" w:w="4650"/>
            <w:vAlign w:val="center"/>
          </w:tcPr>
          <w:p>
            <w:r>
              <w:t xml:space="preserve">A) Coercion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45</w:t>
            </w:r>
          </w:p>
        </w:tc>
        <w:tc>
          <w:tcPr>
            <w:tcW w:type="dxa" w:w="4650"/>
            <w:vAlign w:val="center"/>
          </w:tcPr>
          <w:p>
            <w:r>
              <w:t xml:space="preserve">C) Structural equivalence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46</w:t>
            </w:r>
          </w:p>
        </w:tc>
        <w:tc>
          <w:tcPr>
            <w:tcW w:type="dxa" w:w="4650"/>
            <w:vAlign w:val="center"/>
          </w:tcPr>
          <w:p>
            <w:r>
              <w:t xml:space="preserve">C) Bottom-up evaluation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47</w:t>
            </w:r>
          </w:p>
        </w:tc>
        <w:tc>
          <w:tcPr>
            <w:tcW w:type="dxa" w:w="4650"/>
            <w:vAlign w:val="center"/>
          </w:tcPr>
          <w:p>
            <w:r>
              <w:t xml:space="preserve">B) S-attributed grammar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48</w:t>
            </w:r>
          </w:p>
        </w:tc>
        <w:tc>
          <w:tcPr>
            <w:tcW w:type="dxa" w:w="4650"/>
            <w:vAlign w:val="center"/>
          </w:tcPr>
          <w:p>
            <w:r>
              <w:t xml:space="preserve">C) Leaf nodes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49</w:t>
            </w:r>
          </w:p>
        </w:tc>
        <w:tc>
          <w:tcPr>
            <w:tcW w:type="dxa" w:w="4650"/>
            <w:vAlign w:val="center"/>
          </w:tcPr>
          <w:p>
            <w:r>
              <w:t xml:space="preserve">B) Casting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50</w:t>
            </w:r>
          </w:p>
        </w:tc>
        <w:tc>
          <w:tcPr>
            <w:tcW w:type="dxa" w:w="4650"/>
            <w:vAlign w:val="center"/>
          </w:tcPr>
          <w:p>
            <w:r>
              <w:t xml:space="preserve">B) Semantic Analysis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51</w:t>
            </w:r>
          </w:p>
        </w:tc>
        <w:tc>
          <w:tcPr>
            <w:tcW w:type="dxa" w:w="4650"/>
            <w:vAlign w:val="center"/>
          </w:tcPr>
          <w:p>
            <w:r>
              <w:t xml:space="preserve">C) It can occur during compile time and runtime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52</w:t>
            </w:r>
          </w:p>
        </w:tc>
        <w:tc>
          <w:tcPr>
            <w:tcW w:type="dxa" w:w="4650"/>
            <w:vAlign w:val="center"/>
          </w:tcPr>
          <w:p>
            <w:r>
              <w:t xml:space="preserve">C) Bottom-up parsing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53</w:t>
            </w:r>
          </w:p>
        </w:tc>
        <w:tc>
          <w:tcPr>
            <w:tcW w:type="dxa" w:w="4650"/>
            <w:vAlign w:val="center"/>
          </w:tcPr>
          <w:p>
            <w:r>
              <w:t xml:space="preserve">B) Hierarchical representation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54</w:t>
            </w:r>
          </w:p>
        </w:tc>
        <w:tc>
          <w:tcPr>
            <w:tcW w:type="dxa" w:w="4650"/>
            <w:vAlign w:val="center"/>
          </w:tcPr>
          <w:p>
            <w:r>
              <w:t xml:space="preserve">B) Meaning of constructs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55</w:t>
            </w:r>
          </w:p>
        </w:tc>
        <w:tc>
          <w:tcPr>
            <w:tcW w:type="dxa" w:w="4650"/>
            <w:vAlign w:val="center"/>
          </w:tcPr>
          <w:p>
            <w:r>
              <w:t xml:space="preserve">C) Type equivalence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50"/>
            <w:vAlign w:val="center"/>
          </w:tcPr>
          <w:p>
            <w:r>
              <w:t xml:space="preserve"/>
            </w:r>
          </w:p>
        </w:tc>
      </w:tr>
    </w:tbl>
    <w:p>
      <w:pPr>
        <w:spacing w:before="200"/>
      </w:pPr>
      <w:r>
        <w:rPr>
          <w:i/>
          <w:iCs/>
          <w:sz w:val="18"/>
          <w:szCs w:val="18"/>
        </w:rPr>
        <w:t xml:space="preserve">Note: The source paper provided questions and options up to Q55; only 55 of the stated 60 items were present in the uploaded document, so answers are given for Q1–Q55.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2026-08-22T09:02:59.103Z</dcterms:created>
  <dcterms:modified xsi:type="dcterms:W3CDTF">2026-08-22T09:02:59.104Z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