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C6" w:rsidRDefault="002A4983">
      <w:r>
        <w:t>Plan</w:t>
      </w:r>
      <w:r>
        <w:tab/>
      </w:r>
    </w:p>
    <w:p w:rsidR="002A4983" w:rsidRDefault="002A4983">
      <w:r>
        <w:t>Introduction</w:t>
      </w:r>
    </w:p>
    <w:p w:rsidR="002A4983" w:rsidRDefault="002A4983">
      <w:r>
        <w:t>Contexte de travail</w:t>
      </w:r>
    </w:p>
    <w:p w:rsidR="002A4983" w:rsidRDefault="002A4983">
      <w:r>
        <w:t>Cahier de charges</w:t>
      </w:r>
    </w:p>
    <w:p w:rsidR="002A4983" w:rsidRDefault="002A4983">
      <w:r>
        <w:t>Méthodologie d’approche</w:t>
      </w:r>
    </w:p>
    <w:p w:rsidR="002A4983" w:rsidRDefault="00F0109F" w:rsidP="00F0109F">
      <w:pPr>
        <w:pStyle w:val="Paragraphedeliste"/>
        <w:numPr>
          <w:ilvl w:val="0"/>
          <w:numId w:val="1"/>
        </w:numPr>
      </w:pPr>
      <w:r>
        <w:t>Module (définition)</w:t>
      </w:r>
    </w:p>
    <w:p w:rsidR="00F0109F" w:rsidRDefault="00F0109F" w:rsidP="00F0109F">
      <w:pPr>
        <w:pStyle w:val="Paragraphedeliste"/>
        <w:numPr>
          <w:ilvl w:val="0"/>
          <w:numId w:val="1"/>
        </w:numPr>
      </w:pPr>
      <w:r>
        <w:t>Eléments d’un module</w:t>
      </w:r>
    </w:p>
    <w:p w:rsidR="00F0109F" w:rsidRDefault="00F0109F" w:rsidP="00F0109F">
      <w:pPr>
        <w:pStyle w:val="Paragraphedeliste"/>
        <w:numPr>
          <w:ilvl w:val="0"/>
          <w:numId w:val="2"/>
        </w:numPr>
      </w:pPr>
      <w:r>
        <w:t>Vues</w:t>
      </w:r>
    </w:p>
    <w:p w:rsidR="00F0109F" w:rsidRDefault="00F0109F" w:rsidP="00F0109F">
      <w:pPr>
        <w:pStyle w:val="Paragraphedeliste"/>
        <w:numPr>
          <w:ilvl w:val="0"/>
          <w:numId w:val="2"/>
        </w:numPr>
      </w:pPr>
      <w:r>
        <w:t>Ressources</w:t>
      </w:r>
    </w:p>
    <w:p w:rsidR="00F0109F" w:rsidRDefault="00F0109F" w:rsidP="00F0109F">
      <w:pPr>
        <w:pStyle w:val="Paragraphedeliste"/>
        <w:numPr>
          <w:ilvl w:val="0"/>
          <w:numId w:val="2"/>
        </w:numPr>
      </w:pPr>
      <w:r>
        <w:t>Les processus métier du module</w:t>
      </w:r>
    </w:p>
    <w:p w:rsidR="00F0109F" w:rsidRDefault="00F0109F" w:rsidP="00F0109F">
      <w:pPr>
        <w:pStyle w:val="Paragraphedeliste"/>
        <w:numPr>
          <w:ilvl w:val="0"/>
          <w:numId w:val="2"/>
        </w:numPr>
      </w:pPr>
      <w:r>
        <w:t>La base de données</w:t>
      </w:r>
    </w:p>
    <w:p w:rsidR="00F0109F" w:rsidRDefault="00F0109F" w:rsidP="00F0109F">
      <w:r>
        <w:t>Implémentation</w:t>
      </w:r>
    </w:p>
    <w:p w:rsidR="00F0109F" w:rsidRDefault="00F0109F" w:rsidP="00F0109F">
      <w:pPr>
        <w:pStyle w:val="Paragraphedeliste"/>
        <w:numPr>
          <w:ilvl w:val="0"/>
          <w:numId w:val="3"/>
        </w:numPr>
      </w:pPr>
      <w:r>
        <w:t>Mise en place de l’environnement de travail</w:t>
      </w:r>
    </w:p>
    <w:p w:rsidR="00F0109F" w:rsidRDefault="00F0109F" w:rsidP="00F0109F">
      <w:pPr>
        <w:pStyle w:val="Paragraphedeliste"/>
        <w:numPr>
          <w:ilvl w:val="0"/>
          <w:numId w:val="3"/>
        </w:numPr>
      </w:pPr>
      <w:r>
        <w:t>Mise en place de l’environnement de développement</w:t>
      </w:r>
    </w:p>
    <w:p w:rsidR="00F0109F" w:rsidRDefault="00F0109F" w:rsidP="00F0109F">
      <w:pPr>
        <w:pStyle w:val="Paragraphedeliste"/>
        <w:numPr>
          <w:ilvl w:val="1"/>
          <w:numId w:val="3"/>
        </w:numPr>
      </w:pPr>
      <w:r>
        <w:t>Les vues</w:t>
      </w:r>
    </w:p>
    <w:p w:rsidR="00F0109F" w:rsidRDefault="00F0109F" w:rsidP="00F0109F">
      <w:pPr>
        <w:pStyle w:val="Paragraphedeliste"/>
        <w:numPr>
          <w:ilvl w:val="1"/>
          <w:numId w:val="3"/>
        </w:numPr>
      </w:pPr>
      <w:r>
        <w:t>Les ressources</w:t>
      </w:r>
    </w:p>
    <w:p w:rsidR="00F0109F" w:rsidRDefault="00F0109F" w:rsidP="00F0109F">
      <w:pPr>
        <w:pStyle w:val="Paragraphedeliste"/>
        <w:numPr>
          <w:ilvl w:val="1"/>
          <w:numId w:val="3"/>
        </w:numPr>
      </w:pPr>
      <w:r>
        <w:t>Les processus métier</w:t>
      </w:r>
    </w:p>
    <w:p w:rsidR="00F0109F" w:rsidRDefault="00F0109F" w:rsidP="00F0109F">
      <w:pPr>
        <w:pStyle w:val="Paragraphedeliste"/>
        <w:numPr>
          <w:ilvl w:val="1"/>
          <w:numId w:val="3"/>
        </w:numPr>
      </w:pPr>
      <w:r>
        <w:t>La base de données</w:t>
      </w:r>
    </w:p>
    <w:p w:rsidR="00F0109F" w:rsidRDefault="00F0109F" w:rsidP="00F0109F">
      <w:pPr>
        <w:pStyle w:val="Paragraphedeliste"/>
      </w:pPr>
    </w:p>
    <w:p w:rsidR="00AD35F9" w:rsidRDefault="00F0109F" w:rsidP="00F0109F">
      <w:pPr>
        <w:pStyle w:val="Paragraphedeliste"/>
        <w:ind w:left="0"/>
      </w:pPr>
      <w:r>
        <w:t>Conclusion</w:t>
      </w:r>
      <w:r>
        <w:tab/>
      </w:r>
    </w:p>
    <w:p w:rsidR="00AD35F9" w:rsidRDefault="00AD35F9" w:rsidP="00AD35F9">
      <w:r>
        <w:br w:type="page"/>
      </w:r>
      <w:r>
        <w:lastRenderedPageBreak/>
        <w:t>METHODOLODIE D’APPROCHE</w:t>
      </w:r>
    </w:p>
    <w:p w:rsidR="00AD35F9" w:rsidRDefault="00AD35F9" w:rsidP="00AD35F9"/>
    <w:p w:rsidR="00AD35F9" w:rsidRDefault="00096DB5" w:rsidP="00AD35F9">
      <w:pPr>
        <w:rPr>
          <w:b/>
        </w:rPr>
      </w:pPr>
      <w:r>
        <w:rPr>
          <w:b/>
        </w:rPr>
        <w:t xml:space="preserve">Définition de </w:t>
      </w:r>
      <w:r w:rsidR="00AD35F9" w:rsidRPr="00AD35F9">
        <w:rPr>
          <w:b/>
        </w:rPr>
        <w:t xml:space="preserve">Module </w:t>
      </w:r>
    </w:p>
    <w:p w:rsidR="00000000" w:rsidRPr="00096DB5" w:rsidRDefault="009B3AD3" w:rsidP="00096DB5">
      <w:pPr>
        <w:numPr>
          <w:ilvl w:val="0"/>
          <w:numId w:val="4"/>
        </w:numPr>
        <w:tabs>
          <w:tab w:val="num" w:pos="720"/>
        </w:tabs>
      </w:pPr>
      <w:r w:rsidRPr="00096DB5">
        <w:t>Les URIs REST pour accéder aux  différentes ressources côté serveur</w:t>
      </w:r>
    </w:p>
    <w:p w:rsidR="00000000" w:rsidRPr="00096DB5" w:rsidRDefault="009B3AD3" w:rsidP="00096DB5">
      <w:pPr>
        <w:numPr>
          <w:ilvl w:val="0"/>
          <w:numId w:val="4"/>
        </w:numPr>
      </w:pPr>
      <w:r w:rsidRPr="00096DB5">
        <w:t xml:space="preserve">Les éléments côté client </w:t>
      </w:r>
      <w:r w:rsidR="00096DB5" w:rsidRPr="00096DB5">
        <w:t xml:space="preserve"> (architecture mvc)</w:t>
      </w:r>
    </w:p>
    <w:p w:rsidR="00096DB5" w:rsidRDefault="00096DB5" w:rsidP="00096DB5">
      <w:pPr>
        <w:numPr>
          <w:ilvl w:val="1"/>
          <w:numId w:val="4"/>
        </w:numPr>
      </w:pPr>
      <w:r>
        <w:t>Vues</w:t>
      </w:r>
      <w:r w:rsidR="00A633E1">
        <w:t>, (le « V » de MVC)</w:t>
      </w:r>
    </w:p>
    <w:p w:rsidR="00096DB5" w:rsidRDefault="009B3AD3" w:rsidP="00096DB5">
      <w:pPr>
        <w:numPr>
          <w:ilvl w:val="1"/>
          <w:numId w:val="4"/>
        </w:numPr>
      </w:pPr>
      <w:r w:rsidRPr="00096DB5">
        <w:t xml:space="preserve"> </w:t>
      </w:r>
      <w:r w:rsidR="00A633E1" w:rsidRPr="00096DB5">
        <w:t>Contrôle</w:t>
      </w:r>
      <w:r w:rsidR="00A633E1">
        <w:t>u</w:t>
      </w:r>
      <w:r w:rsidR="00A633E1" w:rsidRPr="00096DB5">
        <w:t>rs</w:t>
      </w:r>
      <w:r w:rsidR="00A633E1">
        <w:t xml:space="preserve"> (le C de  MVC)</w:t>
      </w:r>
    </w:p>
    <w:p w:rsidR="00000000" w:rsidRPr="00096DB5" w:rsidRDefault="009B3AD3" w:rsidP="00096DB5">
      <w:pPr>
        <w:numPr>
          <w:ilvl w:val="1"/>
          <w:numId w:val="4"/>
        </w:numPr>
      </w:pPr>
      <w:r w:rsidRPr="00096DB5">
        <w:t xml:space="preserve"> services</w:t>
      </w:r>
    </w:p>
    <w:p w:rsidR="00000000" w:rsidRPr="00096DB5" w:rsidRDefault="009B3AD3" w:rsidP="00096DB5">
      <w:pPr>
        <w:numPr>
          <w:ilvl w:val="0"/>
          <w:numId w:val="4"/>
        </w:numPr>
      </w:pPr>
      <w:r w:rsidRPr="00096DB5">
        <w:t>Les éléments côté serveur</w:t>
      </w:r>
    </w:p>
    <w:p w:rsidR="00000000" w:rsidRPr="00096DB5" w:rsidRDefault="009B3AD3" w:rsidP="00096DB5">
      <w:pPr>
        <w:numPr>
          <w:ilvl w:val="1"/>
          <w:numId w:val="4"/>
        </w:numPr>
      </w:pPr>
      <w:r w:rsidRPr="00096DB5">
        <w:t>Base de données</w:t>
      </w:r>
      <w:r w:rsidR="00A633E1">
        <w:t>, (le M de MVC)</w:t>
      </w:r>
    </w:p>
    <w:p w:rsidR="00000000" w:rsidRPr="00096DB5" w:rsidRDefault="009B3AD3" w:rsidP="00096DB5">
      <w:pPr>
        <w:numPr>
          <w:ilvl w:val="1"/>
          <w:numId w:val="4"/>
        </w:numPr>
      </w:pPr>
      <w:r w:rsidRPr="00096DB5">
        <w:t>Description des processus métier</w:t>
      </w:r>
    </w:p>
    <w:p w:rsidR="00000000" w:rsidRPr="00096DB5" w:rsidRDefault="009B3AD3" w:rsidP="00096DB5">
      <w:pPr>
        <w:numPr>
          <w:ilvl w:val="1"/>
          <w:numId w:val="4"/>
        </w:numPr>
      </w:pPr>
      <w:r w:rsidRPr="00096DB5">
        <w:t>Les opérations liées aux différentes ressources</w:t>
      </w:r>
    </w:p>
    <w:p w:rsidR="00E13BF6" w:rsidRDefault="00E13BF6" w:rsidP="00AD35F9"/>
    <w:p w:rsidR="00AD35F9" w:rsidRDefault="00E13BF6" w:rsidP="00AD35F9">
      <w:r>
        <w:t>IMPLEMENTATTION</w:t>
      </w:r>
    </w:p>
    <w:p w:rsidR="001D3F85" w:rsidRDefault="00E13BF6" w:rsidP="00AD35F9">
      <w:pPr>
        <w:rPr>
          <w:b/>
        </w:rPr>
      </w:pPr>
      <w:r w:rsidRPr="00E13BF6">
        <w:rPr>
          <w:b/>
        </w:rPr>
        <w:t>Mise en place de l’environnement de travail</w:t>
      </w:r>
    </w:p>
    <w:p w:rsidR="0058288A" w:rsidRDefault="001D3F85" w:rsidP="001D3F85">
      <w:r>
        <w:t>L’environnement de travail ici est celui dans lequel les utilisateurs de la plateforme pourront en fonction de leur rôle  développé,  déployé, ou seulement être  simples utilisateurs d’</w:t>
      </w:r>
      <w:r w:rsidR="0058288A">
        <w:t>une application concernant leurs organisations.</w:t>
      </w:r>
    </w:p>
    <w:p w:rsidR="0058288A" w:rsidRDefault="0058288A" w:rsidP="001D3F85">
      <w:r>
        <w:t>Il est composé :</w:t>
      </w:r>
    </w:p>
    <w:p w:rsidR="00E13BF6" w:rsidRDefault="0058288A" w:rsidP="0058288A">
      <w:pPr>
        <w:pStyle w:val="Paragraphedeliste"/>
        <w:numPr>
          <w:ilvl w:val="0"/>
          <w:numId w:val="6"/>
        </w:numPr>
      </w:pPr>
      <w:r>
        <w:t>D’une zone d’affichage des tâches en attentes, en gros de différentes sortes de notifications venant des modules dont l’utilisateur connecté a accès.</w:t>
      </w:r>
    </w:p>
    <w:p w:rsidR="0058288A" w:rsidRDefault="00BA040B" w:rsidP="0058288A">
      <w:pPr>
        <w:pStyle w:val="Paragraphedeliste"/>
        <w:numPr>
          <w:ilvl w:val="0"/>
          <w:numId w:val="6"/>
        </w:numPr>
      </w:pPr>
      <w:r>
        <w:t>Une fois le module d’intérêt sélectionné, ce dernier s’installe dans l’environnement de travail, la sidebar de gauche subdivisé en trois parties affich</w:t>
      </w:r>
      <w:r w:rsidR="00742758">
        <w:t>a</w:t>
      </w:r>
      <w:r>
        <w:t>nt respectivement :</w:t>
      </w:r>
    </w:p>
    <w:p w:rsidR="00BA040B" w:rsidRDefault="00BA040B" w:rsidP="00BA040B">
      <w:pPr>
        <w:pStyle w:val="Paragraphedeliste"/>
        <w:numPr>
          <w:ilvl w:val="1"/>
          <w:numId w:val="6"/>
        </w:numPr>
      </w:pPr>
      <w:r>
        <w:t xml:space="preserve">Un menu Dashboard qui a pour but de  renvoyer sur le </w:t>
      </w:r>
      <w:r w:rsidRPr="00BA040B">
        <w:rPr>
          <w:b/>
        </w:rPr>
        <w:t>Dashboard</w:t>
      </w:r>
      <w:r>
        <w:t xml:space="preserve"> du module encours d’exécution</w:t>
      </w:r>
    </w:p>
    <w:p w:rsidR="00BA040B" w:rsidRDefault="00BA040B" w:rsidP="00BA040B">
      <w:pPr>
        <w:pStyle w:val="Paragraphedeliste"/>
        <w:numPr>
          <w:ilvl w:val="1"/>
          <w:numId w:val="6"/>
        </w:numPr>
      </w:pPr>
      <w:r>
        <w:t>Les différents menus du module encours d’exécution</w:t>
      </w:r>
    </w:p>
    <w:p w:rsidR="00BA040B" w:rsidRDefault="00742758" w:rsidP="00BA040B">
      <w:pPr>
        <w:pStyle w:val="Paragraphedeliste"/>
        <w:numPr>
          <w:ilvl w:val="1"/>
          <w:numId w:val="6"/>
        </w:numPr>
      </w:pPr>
      <w:r>
        <w:t>L’ensemble des modules liés à celui en</w:t>
      </w:r>
      <w:r w:rsidR="003D4706">
        <w:t xml:space="preserve"> </w:t>
      </w:r>
      <w:r>
        <w:t>cours d’exécution</w:t>
      </w:r>
    </w:p>
    <w:p w:rsidR="00742758" w:rsidRDefault="00742758" w:rsidP="00742758">
      <w:pPr>
        <w:pStyle w:val="Paragraphedeliste"/>
        <w:numPr>
          <w:ilvl w:val="0"/>
          <w:numId w:val="6"/>
        </w:numPr>
      </w:pPr>
      <w:r>
        <w:t>De l’environnement de travail proprement dit.</w:t>
      </w:r>
    </w:p>
    <w:p w:rsidR="00742758" w:rsidRDefault="00742758" w:rsidP="00742758">
      <w:pPr>
        <w:rPr>
          <w:b/>
        </w:rPr>
      </w:pPr>
    </w:p>
    <w:p w:rsidR="00742758" w:rsidRDefault="00742758" w:rsidP="00742758">
      <w:pPr>
        <w:rPr>
          <w:b/>
        </w:rPr>
      </w:pPr>
      <w:r w:rsidRPr="00742758">
        <w:rPr>
          <w:b/>
        </w:rPr>
        <w:t>Mise en place de l’environnement de  développement</w:t>
      </w:r>
    </w:p>
    <w:p w:rsidR="00742758" w:rsidRDefault="00742758" w:rsidP="00742758">
      <w:r>
        <w:t xml:space="preserve">En guise de test d’évaluation, </w:t>
      </w:r>
      <w:r w:rsidR="00F679DB">
        <w:t>l’environnement de développement représentant ici le module d</w:t>
      </w:r>
      <w:r w:rsidR="003D4706">
        <w:t>e génération des modules avenir</w:t>
      </w:r>
      <w:r w:rsidR="00F679DB">
        <w:t>,  à lui-même été développé en tant que module de la plateforme.</w:t>
      </w:r>
      <w:r w:rsidR="003D4706">
        <w:t xml:space="preserve"> L’</w:t>
      </w:r>
      <w:r w:rsidR="00F679DB">
        <w:t xml:space="preserve">auto-génération d’un module aussi complexe que  </w:t>
      </w:r>
      <w:r w:rsidR="003D4706">
        <w:t>le générateur lui-même nous rassure de l’efficacité du générateur étant donné qu’il est destiné à générer des applications  en entreprise.</w:t>
      </w:r>
    </w:p>
    <w:p w:rsidR="003D4706" w:rsidRDefault="003D4706" w:rsidP="00742758">
      <w:r>
        <w:t>Le générateur a été conçu à l’image des composants d’un module précités dans la définition du module comme suit :</w:t>
      </w:r>
    </w:p>
    <w:p w:rsidR="003D4706" w:rsidRPr="003D4706" w:rsidRDefault="003D4706" w:rsidP="00742758">
      <w:pPr>
        <w:rPr>
          <w:b/>
        </w:rPr>
      </w:pPr>
      <w:r w:rsidRPr="003D4706">
        <w:rPr>
          <w:b/>
        </w:rPr>
        <w:lastRenderedPageBreak/>
        <w:t>Les vues</w:t>
      </w:r>
    </w:p>
    <w:p w:rsidR="003D4706" w:rsidRDefault="003D4706" w:rsidP="00742758">
      <w:r>
        <w:t xml:space="preserve">L’interface d’assemblage des vues </w:t>
      </w:r>
      <w:r w:rsidR="00442CFA">
        <w:t>d’un module est composé</w:t>
      </w:r>
      <w:r w:rsidR="004A5943">
        <w:t>e</w:t>
      </w:r>
      <w:r w:rsidR="00442CFA">
        <w:t xml:space="preserve"> de 7 onglets :</w:t>
      </w:r>
    </w:p>
    <w:p w:rsidR="00442CFA" w:rsidRDefault="00442CFA" w:rsidP="00442CFA">
      <w:pPr>
        <w:pStyle w:val="Paragraphedeliste"/>
        <w:numPr>
          <w:ilvl w:val="0"/>
          <w:numId w:val="7"/>
        </w:numPr>
        <w:rPr>
          <w:b/>
        </w:rPr>
      </w:pPr>
      <w:r w:rsidRPr="00442CFA">
        <w:rPr>
          <w:b/>
        </w:rPr>
        <w:t>Treeview</w:t>
      </w:r>
    </w:p>
    <w:p w:rsidR="00442CFA" w:rsidRDefault="00B27242" w:rsidP="00B27242">
      <w:pPr>
        <w:ind w:left="708"/>
        <w:rPr>
          <w:rFonts w:ascii="Open Sans" w:hAnsi="Open Sans" w:cs="Open Sans Light"/>
        </w:rPr>
      </w:pPr>
      <w:r w:rsidRPr="00B27242">
        <w:rPr>
          <w:rFonts w:ascii="Open Sans" w:hAnsi="Open Sans" w:cs="Open Sans Light"/>
        </w:rPr>
        <w:t>Le treeview affiche l’arborescence des composants html</w:t>
      </w:r>
      <w:r>
        <w:rPr>
          <w:rFonts w:ascii="Open Sans" w:hAnsi="Open Sans" w:cs="Open Sans Light"/>
        </w:rPr>
        <w:t xml:space="preserve"> d’une vue.</w:t>
      </w:r>
    </w:p>
    <w:p w:rsidR="004A5943" w:rsidRDefault="004A5943" w:rsidP="00B27242">
      <w:pPr>
        <w:ind w:left="708"/>
        <w:rPr>
          <w:rFonts w:ascii="Open Sans" w:hAnsi="Open Sans" w:cs="Open Sans Light"/>
        </w:rPr>
      </w:pPr>
      <w:r>
        <w:rPr>
          <w:rFonts w:ascii="Open Sans" w:hAnsi="Open Sans" w:cs="Open Sans Light"/>
        </w:rPr>
        <w:t>Il permet donc d’</w:t>
      </w:r>
      <w:r w:rsidR="006516D1">
        <w:rPr>
          <w:rFonts w:ascii="Open Sans" w:hAnsi="Open Sans" w:cs="Open Sans Light"/>
        </w:rPr>
        <w:t>avoir un aperçu</w:t>
      </w:r>
      <w:r>
        <w:rPr>
          <w:rFonts w:ascii="Open Sans" w:hAnsi="Open Sans" w:cs="Open Sans Light"/>
        </w:rPr>
        <w:t xml:space="preserve"> </w:t>
      </w:r>
      <w:r w:rsidR="006516D1">
        <w:rPr>
          <w:rFonts w:ascii="Open Sans" w:hAnsi="Open Sans" w:cs="Open Sans Light"/>
        </w:rPr>
        <w:t>global</w:t>
      </w:r>
      <w:r>
        <w:rPr>
          <w:rFonts w:ascii="Open Sans" w:hAnsi="Open Sans" w:cs="Open Sans Light"/>
        </w:rPr>
        <w:t xml:space="preserve"> sur l’organisation d’une vue ainsi nous pourrons la manipuler facilement en quelques clics. Plus encore, l’arborescence est dotée de quatre fonctions réductrices du temps de développement à savoir :</w:t>
      </w:r>
    </w:p>
    <w:p w:rsidR="004A5943" w:rsidRDefault="004A5943" w:rsidP="004A5943">
      <w:pPr>
        <w:pStyle w:val="Paragraphedeliste"/>
        <w:numPr>
          <w:ilvl w:val="1"/>
          <w:numId w:val="3"/>
        </w:numPr>
        <w:rPr>
          <w:rFonts w:ascii="Open Sans" w:hAnsi="Open Sans" w:cs="Open Sans Light"/>
          <w:b/>
        </w:rPr>
      </w:pPr>
      <w:r w:rsidRPr="004A5943">
        <w:rPr>
          <w:rFonts w:ascii="Open Sans" w:hAnsi="Open Sans" w:cs="Open Sans Light"/>
          <w:b/>
        </w:rPr>
        <w:t xml:space="preserve">Up  </w:t>
      </w:r>
    </w:p>
    <w:p w:rsidR="00B27242" w:rsidRDefault="004A5943" w:rsidP="004A5943">
      <w:pPr>
        <w:tabs>
          <w:tab w:val="left" w:pos="1327"/>
        </w:tabs>
        <w:ind w:left="1440"/>
      </w:pPr>
      <w:r>
        <w:t xml:space="preserve">Elle permet de remonter un composant dans l’arborescence au sein de son parent </w:t>
      </w:r>
      <w:r w:rsidR="006516D1">
        <w:t>.</w:t>
      </w:r>
    </w:p>
    <w:p w:rsidR="006516D1" w:rsidRDefault="006516D1" w:rsidP="006516D1">
      <w:pPr>
        <w:pStyle w:val="Paragraphedeliste"/>
        <w:numPr>
          <w:ilvl w:val="1"/>
          <w:numId w:val="3"/>
        </w:numPr>
        <w:tabs>
          <w:tab w:val="left" w:pos="1327"/>
        </w:tabs>
        <w:rPr>
          <w:b/>
        </w:rPr>
      </w:pPr>
      <w:r w:rsidRPr="006516D1">
        <w:rPr>
          <w:b/>
        </w:rPr>
        <w:t>Down</w:t>
      </w:r>
      <w:r>
        <w:rPr>
          <w:b/>
        </w:rPr>
        <w:t xml:space="preserve"> </w:t>
      </w:r>
    </w:p>
    <w:p w:rsidR="006516D1" w:rsidRDefault="006516D1" w:rsidP="006516D1">
      <w:pPr>
        <w:tabs>
          <w:tab w:val="left" w:pos="1327"/>
        </w:tabs>
        <w:ind w:left="1440"/>
      </w:pPr>
      <w:r>
        <w:t>Elle fait le contraire de l’up.</w:t>
      </w:r>
    </w:p>
    <w:p w:rsidR="006516D1" w:rsidRPr="006516D1" w:rsidRDefault="006516D1" w:rsidP="006516D1">
      <w:pPr>
        <w:pStyle w:val="Paragraphedeliste"/>
        <w:numPr>
          <w:ilvl w:val="1"/>
          <w:numId w:val="3"/>
        </w:numPr>
        <w:tabs>
          <w:tab w:val="left" w:pos="1327"/>
        </w:tabs>
        <w:rPr>
          <w:b/>
        </w:rPr>
      </w:pPr>
      <w:r w:rsidRPr="006516D1">
        <w:rPr>
          <w:b/>
        </w:rPr>
        <w:t>Copy</w:t>
      </w:r>
      <w:r>
        <w:rPr>
          <w:b/>
        </w:rPr>
        <w:t xml:space="preserve"> </w:t>
      </w:r>
    </w:p>
    <w:p w:rsidR="006516D1" w:rsidRDefault="006516D1" w:rsidP="006516D1">
      <w:pPr>
        <w:tabs>
          <w:tab w:val="left" w:pos="1327"/>
        </w:tabs>
        <w:ind w:left="1440"/>
      </w:pPr>
      <w:r>
        <w:t>Elle permet de copier une partie de l’arborescence et de la coller dans un parent, c’est une manière de réutiliser les composants déjà présents dans la vue.</w:t>
      </w:r>
    </w:p>
    <w:p w:rsidR="006516D1" w:rsidRDefault="006516D1" w:rsidP="006516D1">
      <w:pPr>
        <w:pStyle w:val="Paragraphedeliste"/>
        <w:numPr>
          <w:ilvl w:val="1"/>
          <w:numId w:val="3"/>
        </w:numPr>
        <w:tabs>
          <w:tab w:val="left" w:pos="1327"/>
        </w:tabs>
        <w:rPr>
          <w:b/>
        </w:rPr>
      </w:pPr>
      <w:r w:rsidRPr="006516D1">
        <w:rPr>
          <w:b/>
        </w:rPr>
        <w:t>Delete</w:t>
      </w:r>
      <w:r>
        <w:rPr>
          <w:b/>
        </w:rPr>
        <w:t xml:space="preserve"> </w:t>
      </w:r>
    </w:p>
    <w:p w:rsidR="006516D1" w:rsidRDefault="006516D1" w:rsidP="006516D1">
      <w:pPr>
        <w:tabs>
          <w:tab w:val="left" w:pos="1327"/>
        </w:tabs>
        <w:ind w:left="1440"/>
      </w:pPr>
      <w:r>
        <w:t>Comme son nom l’indique, elle enlève définitivement un composant de la vue.</w:t>
      </w:r>
    </w:p>
    <w:p w:rsidR="006516D1" w:rsidRDefault="006516D1" w:rsidP="00431ABC">
      <w:pPr>
        <w:ind w:left="708"/>
      </w:pPr>
      <w:r>
        <w:t xml:space="preserve">Le treeview est construit à partir de la palette des composants, les propriétés d’un composant pouvant être </w:t>
      </w:r>
      <w:r w:rsidR="00431ABC">
        <w:t>renseigner dans la partie « properties ».</w:t>
      </w:r>
    </w:p>
    <w:p w:rsidR="00431ABC" w:rsidRDefault="00431ABC" w:rsidP="00431ABC">
      <w:pPr>
        <w:pStyle w:val="Paragraphedeliste"/>
        <w:numPr>
          <w:ilvl w:val="0"/>
          <w:numId w:val="7"/>
        </w:numPr>
        <w:rPr>
          <w:b/>
        </w:rPr>
      </w:pPr>
      <w:r w:rsidRPr="00431ABC">
        <w:rPr>
          <w:b/>
        </w:rPr>
        <w:t>Fonctions</w:t>
      </w:r>
    </w:p>
    <w:p w:rsidR="00431ABC" w:rsidRDefault="00431ABC" w:rsidP="00431ABC">
      <w:pPr>
        <w:ind w:left="817"/>
      </w:pPr>
      <w:r>
        <w:t>Fonctions formelles ou bouts de code, c’est ici que sont éditées les fonctions</w:t>
      </w:r>
      <w:r w:rsidR="003026BD">
        <w:t xml:space="preserve"> qui seront les « Controller »</w:t>
      </w:r>
      <w:r>
        <w:t xml:space="preserve"> du </w:t>
      </w:r>
      <w:r w:rsidR="003026BD">
        <w:t>module</w:t>
      </w:r>
      <w:r>
        <w:t>.</w:t>
      </w:r>
    </w:p>
    <w:p w:rsidR="005A5BFF" w:rsidRDefault="005A5BFF" w:rsidP="00431ABC">
      <w:pPr>
        <w:pStyle w:val="Paragraphedeliste"/>
        <w:numPr>
          <w:ilvl w:val="0"/>
          <w:numId w:val="7"/>
        </w:numPr>
        <w:rPr>
          <w:b/>
        </w:rPr>
      </w:pPr>
      <w:r w:rsidRPr="005A5BFF">
        <w:rPr>
          <w:b/>
        </w:rPr>
        <w:t xml:space="preserve">Actions </w:t>
      </w:r>
    </w:p>
    <w:p w:rsidR="00431ABC" w:rsidRDefault="005A5BFF" w:rsidP="005A5BFF">
      <w:pPr>
        <w:ind w:left="817"/>
      </w:pPr>
      <w:r>
        <w:t xml:space="preserve">Les actions d’un module sont celles qui s’affichent au niveau de la barre des actions en fonction du module et de la vue courantes. </w:t>
      </w:r>
      <w:r w:rsidR="008053D8">
        <w:t>Elles</w:t>
      </w:r>
      <w:r>
        <w:t xml:space="preserve"> assurent des fonctionnalités du module faisables à partir de la vue courante.</w:t>
      </w:r>
    </w:p>
    <w:p w:rsidR="000E1392" w:rsidRDefault="000E1392" w:rsidP="005A5BFF">
      <w:pPr>
        <w:pStyle w:val="Paragraphedeliste"/>
        <w:numPr>
          <w:ilvl w:val="0"/>
          <w:numId w:val="7"/>
        </w:numPr>
        <w:rPr>
          <w:b/>
        </w:rPr>
      </w:pPr>
      <w:r w:rsidRPr="000E1392">
        <w:rPr>
          <w:b/>
        </w:rPr>
        <w:t>Variables</w:t>
      </w:r>
    </w:p>
    <w:p w:rsidR="000E1392" w:rsidRDefault="000E1392" w:rsidP="005A5BFF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configs</w:t>
      </w:r>
      <w:r w:rsidRPr="000E1392">
        <w:rPr>
          <w:b/>
        </w:rPr>
        <w:tab/>
      </w:r>
    </w:p>
    <w:p w:rsidR="000E1392" w:rsidRDefault="000E1392" w:rsidP="008053D8">
      <w:pPr>
        <w:ind w:left="817"/>
      </w:pPr>
      <w:r>
        <w:t>C’est ici que la vue est configurée pour s’encastrer dans le module.</w:t>
      </w:r>
      <w:r w:rsidR="008053D8">
        <w:t xml:space="preserve"> </w:t>
      </w:r>
      <w:r>
        <w:t xml:space="preserve">Sera-t-elle accessible par le menu du module, quel est son url </w:t>
      </w:r>
      <w:r w:rsidR="008053D8">
        <w:t>d’accès,</w:t>
      </w:r>
      <w:r>
        <w:t xml:space="preserve"> </w:t>
      </w:r>
      <w:r w:rsidR="008053D8">
        <w:t>et quel est rôle avoir pour y accéder son autant de questions à répondre pour finaliser la configuration d’une vue.</w:t>
      </w:r>
    </w:p>
    <w:p w:rsidR="00603ACA" w:rsidRDefault="00603ACA" w:rsidP="00603ACA">
      <w:pPr>
        <w:pStyle w:val="Paragraphedeliste"/>
        <w:numPr>
          <w:ilvl w:val="0"/>
          <w:numId w:val="7"/>
        </w:numPr>
        <w:rPr>
          <w:b/>
        </w:rPr>
      </w:pPr>
      <w:r w:rsidRPr="00603ACA">
        <w:rPr>
          <w:b/>
        </w:rPr>
        <w:t>Composants</w:t>
      </w:r>
      <w:r w:rsidRPr="00603ACA">
        <w:rPr>
          <w:b/>
        </w:rPr>
        <w:tab/>
      </w:r>
    </w:p>
    <w:p w:rsidR="00603ACA" w:rsidRDefault="00603ACA" w:rsidP="00603ACA">
      <w:pPr>
        <w:ind w:left="817"/>
      </w:pPr>
      <w:r>
        <w:t>Les composants html utilisés pour construire  une vue sont organisés ici en fonction de leurs catégories respectives. Ils sont complétés en fonction du besoin  des utilisateurs du module de génération.</w:t>
      </w:r>
    </w:p>
    <w:p w:rsidR="00603ACA" w:rsidRDefault="00603ACA" w:rsidP="00603ACA">
      <w:pPr>
        <w:ind w:left="817"/>
      </w:pPr>
    </w:p>
    <w:p w:rsidR="00A3507F" w:rsidRDefault="00603ACA" w:rsidP="00603ACA">
      <w:pPr>
        <w:pStyle w:val="Paragraphedeliste"/>
        <w:numPr>
          <w:ilvl w:val="0"/>
          <w:numId w:val="7"/>
        </w:numPr>
        <w:rPr>
          <w:b/>
        </w:rPr>
      </w:pPr>
      <w:r w:rsidRPr="00603ACA">
        <w:rPr>
          <w:b/>
        </w:rPr>
        <w:lastRenderedPageBreak/>
        <w:t>Views</w:t>
      </w:r>
      <w:r w:rsidRPr="00603ACA">
        <w:rPr>
          <w:b/>
        </w:rPr>
        <w:tab/>
      </w:r>
    </w:p>
    <w:p w:rsidR="00603ACA" w:rsidRDefault="00A3507F" w:rsidP="00A3507F">
      <w:pPr>
        <w:ind w:left="109" w:firstLine="708"/>
      </w:pPr>
      <w:r>
        <w:t>La liste des vues du module en cours d’édition.</w:t>
      </w:r>
    </w:p>
    <w:p w:rsidR="00A3507F" w:rsidRPr="00A3507F" w:rsidRDefault="00A3507F" w:rsidP="00A3507F">
      <w:pPr>
        <w:ind w:left="109" w:firstLine="708"/>
      </w:pPr>
      <w:bookmarkStart w:id="0" w:name="_GoBack"/>
      <w:bookmarkEnd w:id="0"/>
    </w:p>
    <w:sectPr w:rsidR="00A3507F" w:rsidRPr="00A35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AD3" w:rsidRDefault="009B3AD3" w:rsidP="00603ACA">
      <w:pPr>
        <w:spacing w:after="0" w:line="240" w:lineRule="auto"/>
      </w:pPr>
      <w:r>
        <w:separator/>
      </w:r>
    </w:p>
  </w:endnote>
  <w:endnote w:type="continuationSeparator" w:id="0">
    <w:p w:rsidR="009B3AD3" w:rsidRDefault="009B3AD3" w:rsidP="0060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AD3" w:rsidRDefault="009B3AD3" w:rsidP="00603ACA">
      <w:pPr>
        <w:spacing w:after="0" w:line="240" w:lineRule="auto"/>
      </w:pPr>
      <w:r>
        <w:separator/>
      </w:r>
    </w:p>
  </w:footnote>
  <w:footnote w:type="continuationSeparator" w:id="0">
    <w:p w:rsidR="009B3AD3" w:rsidRDefault="009B3AD3" w:rsidP="00603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6E7C"/>
    <w:multiLevelType w:val="hybridMultilevel"/>
    <w:tmpl w:val="D0F041E6"/>
    <w:lvl w:ilvl="0" w:tplc="66F41C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8E8CF4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6544D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F002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EBC9C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0EE10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5272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224F0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7E62D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832552"/>
    <w:multiLevelType w:val="hybridMultilevel"/>
    <w:tmpl w:val="33AC9776"/>
    <w:lvl w:ilvl="0" w:tplc="040C000F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 w15:restartNumberingAfterBreak="0">
    <w:nsid w:val="12C840F6"/>
    <w:multiLevelType w:val="hybridMultilevel"/>
    <w:tmpl w:val="9A0E9CF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5A624B5"/>
    <w:multiLevelType w:val="hybridMultilevel"/>
    <w:tmpl w:val="C16CD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84E"/>
    <w:multiLevelType w:val="hybridMultilevel"/>
    <w:tmpl w:val="C4522604"/>
    <w:lvl w:ilvl="0" w:tplc="CA245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8B6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E2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47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4C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8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CB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CA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C1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452F91"/>
    <w:multiLevelType w:val="hybridMultilevel"/>
    <w:tmpl w:val="33AC9776"/>
    <w:lvl w:ilvl="0" w:tplc="040C000F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6" w15:restartNumberingAfterBreak="0">
    <w:nsid w:val="6A8947BC"/>
    <w:multiLevelType w:val="hybridMultilevel"/>
    <w:tmpl w:val="1154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83"/>
    <w:rsid w:val="00096DB5"/>
    <w:rsid w:val="000E1392"/>
    <w:rsid w:val="001D3F85"/>
    <w:rsid w:val="002055C6"/>
    <w:rsid w:val="002A4983"/>
    <w:rsid w:val="003026BD"/>
    <w:rsid w:val="003D4706"/>
    <w:rsid w:val="00431ABC"/>
    <w:rsid w:val="00442CFA"/>
    <w:rsid w:val="004A5943"/>
    <w:rsid w:val="0058288A"/>
    <w:rsid w:val="005A5BFF"/>
    <w:rsid w:val="00603ACA"/>
    <w:rsid w:val="006516D1"/>
    <w:rsid w:val="00742758"/>
    <w:rsid w:val="00776B72"/>
    <w:rsid w:val="008053D8"/>
    <w:rsid w:val="00843D44"/>
    <w:rsid w:val="009B3AD3"/>
    <w:rsid w:val="00A3507F"/>
    <w:rsid w:val="00A633E1"/>
    <w:rsid w:val="00AD35F9"/>
    <w:rsid w:val="00AD5608"/>
    <w:rsid w:val="00B27242"/>
    <w:rsid w:val="00BA040B"/>
    <w:rsid w:val="00E13BF6"/>
    <w:rsid w:val="00F0109F"/>
    <w:rsid w:val="00F6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86C7C-52FB-4EF8-AF51-DDF2B579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0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ACA"/>
  </w:style>
  <w:style w:type="paragraph" w:styleId="Pieddepage">
    <w:name w:val="footer"/>
    <w:basedOn w:val="Normal"/>
    <w:link w:val="PieddepageCar"/>
    <w:uiPriority w:val="99"/>
    <w:unhideWhenUsed/>
    <w:rsid w:val="00603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4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8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07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48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9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90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Kèfil KOUSSONDA</dc:creator>
  <cp:keywords/>
  <dc:description/>
  <cp:lastModifiedBy>Kèfil KOUSSONDA</cp:lastModifiedBy>
  <cp:revision>6</cp:revision>
  <dcterms:created xsi:type="dcterms:W3CDTF">2017-07-31T22:35:00Z</dcterms:created>
  <dcterms:modified xsi:type="dcterms:W3CDTF">2017-08-01T02:27:00Z</dcterms:modified>
</cp:coreProperties>
</file>