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Relatório editorial %subtitle Contentamento Dinâmico, da versão 2 para a versão 3 %author Para Alan Yamanaka %meta Diagnóstico, nova estrutura e relatório de alterações  •  outubro de 2026</w:t>
      </w:r>
    </w:p>
    <w:p>
      <w:pPr>
        <w:pStyle w:val="Heading1"/>
      </w:pPr>
      <w:r>
        <w:t xml:space="preserve">A) Diagnóstico editorial</w:t>
      </w:r>
    </w:p>
    <w:p>
      <w:pPr>
        <w:pStyle w:val="Heading2"/>
      </w:pPr>
      <w:r>
        <w:t xml:space="preserve">Principais qualidades</w:t>
      </w:r>
    </w:p>
    <w:p>
      <w:pPr>
        <w:pStyle w:val="ListBullet"/>
      </w:pPr>
      <w:r>
        <w:rPr>
          <w:b/>
        </w:rPr>
        <w:t xml:space="preserve">A espinha dorsal é real e rara.</w:t>
      </w:r>
      <w:r>
        <w:t xml:space="preserve"> Dois passaportes que pareciam “mais gasto”, uma casa financiada em menos de dois anos, o food truck que abre na semana do alerta, a empresa que cresce enquanto o casamento encolhe, a praia com bolinhos de arroz. É material que nenhum ensaio genérico tem.</w:t>
      </w:r>
    </w:p>
    <w:p>
      <w:pPr>
        <w:pStyle w:val="ListBullet"/>
      </w:pPr>
      <w:r>
        <w:rPr>
          <w:b/>
        </w:rPr>
        <w:t xml:space="preserve">A tese é original na integração.</w:t>
      </w:r>
      <w:r>
        <w:t xml:space="preserve"> Gratidão, adaptação e ambição já foram estudadas. O que a V2 tem de próprio é juntar as três numa história de imigrante e empresário e dar a isso um nome. O conceito se sustenta.</w:t>
      </w:r>
    </w:p>
    <w:p>
      <w:pPr>
        <w:pStyle w:val="ListBullet"/>
      </w:pPr>
      <w:r>
        <w:rPr>
          <w:b/>
        </w:rPr>
        <w:t xml:space="preserve">O cuidado intelectual já existia.</w:t>
      </w:r>
      <w:r>
        <w:t xml:space="preserve"> A V2 separa testemunho de evidência, não usa a física como prova e recusa o “dinheiro não traz felicidade”. A revisão aproveitou essa base e não precisou construí-la.</w:t>
      </w:r>
    </w:p>
    <w:p>
      <w:pPr>
        <w:pStyle w:val="ListBullet"/>
      </w:pPr>
      <w:r>
        <w:rPr>
          <w:b/>
        </w:rPr>
        <w:t xml:space="preserve">Algumas imagens são excelentes:</w:t>
      </w:r>
      <w:r>
        <w:t xml:space="preserve"> o pão, “sementes ruins também dão fruto”, o deserto entre arrancar e colher, a praia que “nem é tão bonita”, “agradecer atrasado”.</w:t>
      </w:r>
    </w:p>
    <w:p>
      <w:pPr>
        <w:pStyle w:val="Heading2"/>
      </w:pPr>
      <w:r>
        <w:t xml:space="preserve">Principais problemas</w:t>
      </w:r>
    </w:p>
    <w:p>
      <w:pPr>
        <w:pStyle w:val="ListBullet"/>
      </w:pPr>
      <w:r>
        <w:rPr>
          <w:b/>
        </w:rPr>
        <w:t xml:space="preserve">Abertura abstrata.</w:t>
      </w:r>
      <w:r>
        <w:t xml:space="preserve"> O texto começa com um personagem hipotético (“imagine alguém”). O Alan só aparece no segundo bloco, e a primeira cena concreta vem depois de uma citação científica.</w:t>
      </w:r>
    </w:p>
    <w:p>
      <w:pPr>
        <w:pStyle w:val="ListBullet"/>
      </w:pPr>
      <w:r>
        <w:rPr>
          <w:b/>
        </w:rPr>
        <w:t xml:space="preserve">A tese chega cedo demais e se repete.</w:t>
      </w:r>
      <w:r>
        <w:t xml:space="preserve"> A definição completa aparece na 6ª seção, antes de Okinawa, da crise e da praia. Assim, o leitor recebe o conceito antes de viver o problema, e o clímax (a praia) só ilustra uma definição que ele já conhece.</w:t>
      </w:r>
    </w:p>
    <w:p>
      <w:pPr>
        <w:pStyle w:val="ListBullet"/>
      </w:pPr>
      <w:r>
        <w:rPr>
          <w:b/>
        </w:rPr>
        <w:t xml:space="preserve">Muitas seções curtas.</w:t>
      </w:r>
      <w:r>
        <w:t xml:space="preserve"> São 33 subtítulos em cerca de 5.500 palavras de corpo. Vários têm três ou quatro parágrafos e quebram o ritmo: “A narrativa que contamos depois”, “Nem todo crescimento significa acrescentar”, “Rápido, lento e treinável”, “A memória como antídoto”, “Quatro estados possíveis”.</w:t>
      </w:r>
    </w:p>
    <w:p>
      <w:pPr>
        <w:pStyle w:val="ListBullet"/>
      </w:pPr>
      <w:r>
        <w:rPr>
          <w:b/>
        </w:rPr>
        <w:t xml:space="preserve">Excesso de frases em destaque.</w:t>
      </w:r>
      <w:r>
        <w:t xml:space="preserve"> Há cerca de 40 KeyQuotes. Quando quase tudo vira frase de efeito, nenhuma pesa. O texto também adquire o tom de “post motivacional” que você quer evitar.</w:t>
      </w:r>
    </w:p>
    <w:p>
      <w:pPr>
        <w:pStyle w:val="ListBullet"/>
      </w:pPr>
      <w:r>
        <w:rPr>
          <w:b/>
        </w:rPr>
        <w:t xml:space="preserve">Kahneman aparece em quatro lugares</w:t>
      </w:r>
      <w:r>
        <w:t xml:space="preserve"> (novo zero, Rápido e Devagar, ilusão de foco, “Rápido, lento e treinável”) sem uma linha que os una.</w:t>
      </w:r>
    </w:p>
    <w:p>
      <w:pPr>
        <w:pStyle w:val="ListBullet"/>
      </w:pPr>
      <w:r>
        <w:rPr>
          <w:b/>
        </w:rPr>
        <w:t xml:space="preserve">Ciência em bloco.</w:t>
      </w:r>
      <w:r>
        <w:t xml:space="preserve"> “Rápido e devagar”, “O problema não é criar o próximo desejo” e “Quatro dimensões” são seções quase só teóricas, sem história.</w:t>
      </w:r>
    </w:p>
    <w:p>
      <w:pPr>
        <w:pStyle w:val="ListBullet"/>
      </w:pPr>
      <w:r>
        <w:rPr>
          <w:b/>
        </w:rPr>
        <w:t xml:space="preserve">A seção sobre migalhas vem tarde.</w:t>
      </w:r>
      <w:r>
        <w:t xml:space="preserve"> Ela aparece depois da praia, quando o leitor já pode ter lido a praia como “aceitar pouco”. Ela precisa vir antes, para que a praia seja lida como abundância e não como resignação.</w:t>
      </w:r>
    </w:p>
    <w:p>
      <w:pPr>
        <w:pStyle w:val="ListBullet"/>
      </w:pPr>
      <w:r>
        <w:rPr>
          <w:b/>
        </w:rPr>
        <w:t xml:space="preserve">Fé ainda funciona como apêndice em alguns trechos.</w:t>
      </w:r>
      <w:r>
        <w:t xml:space="preserve"> Os versículos estão quase todos na lista final. No corpo, só Filipenses 4 é trabalhado.</w:t>
      </w:r>
    </w:p>
    <w:p>
      <w:pPr>
        <w:pStyle w:val="ListBullet"/>
      </w:pPr>
      <w:r>
        <w:rPr>
          <w:b/>
        </w:rPr>
        <w:t xml:space="preserve">A física quântica enfraquece o ensaio.</w:t>
      </w:r>
      <w:r>
        <w:t xml:space="preserve"> A seção gasta seis parágrafos para dizer o que a física não prova. O leitor sai dela sabendo menos sobre contentamento do que quando entrou.</w:t>
      </w:r>
    </w:p>
    <w:p>
      <w:pPr>
        <w:pStyle w:val="Heading2"/>
      </w:pPr>
      <w:r>
        <w:t xml:space="preserve">Repetições identificadas</w:t>
      </w:r>
    </w:p>
    <w:p>
      <w:pPr>
        <w:widowControl/>
      </w:pPr>
      <w:r>
        <w:t xml:space="preserve">Cada ideia abaixo foi mantida uma única vez, no ponto de maior impacto:</w:t>
      </w:r>
    </w:p>
    <w:p>
      <w:pPr>
        <w:pStyle w:val="ListBullet"/>
      </w:pPr>
      <w:r>
        <w:t xml:space="preserve">“Contentamento não é conformismo / quero continuar crescendo”: 5 ocorrências na V2. Na V3 fica uma, na abertura da seção do conceito (“Se contentamento significasse ‘fique onde está’…”).</w:t>
      </w:r>
    </w:p>
    <w:p>
      <w:pPr>
        <w:pStyle w:val="ListBullet"/>
      </w:pPr>
      <w:r>
        <w:t xml:space="preserve">“Dinheiro não é ruim”: 4 ocorrências. Fica uma breve em “idolatria” e o desenvolvimento completo em “Prosperidade melhora o cenário”, já com a evidência.</w:t>
      </w:r>
    </w:p>
    <w:p>
      <w:pPr>
        <w:pStyle w:val="ListBullet"/>
      </w:pPr>
      <w:r>
        <w:t xml:space="preserve">“Não quero romantizar sofrimento”: 3 ocorrências. Fica uma, em Okinawa, marcada como “uma vez só”.</w:t>
      </w:r>
    </w:p>
    <w:p>
      <w:pPr>
        <w:pStyle w:val="ListBullet"/>
      </w:pPr>
      <w:r>
        <w:t xml:space="preserve">“Ciência não prova Deus / isto é testemunho”: 4 ocorrências. Fica uma completa, na conversão, mais a nota conceitual.</w:t>
      </w:r>
    </w:p>
    <w:p>
      <w:pPr>
        <w:pStyle w:val="ListBullet"/>
      </w:pPr>
      <w:r>
        <w:t xml:space="preserve">“Prosperidade melhora o cenário”: dois blocos (título e corpo). Fica um, depois da praia.</w:t>
      </w:r>
    </w:p>
    <w:p>
      <w:pPr>
        <w:pStyle w:val="ListBullet"/>
      </w:pPr>
      <w:r>
        <w:t xml:space="preserve">“O próximo nível não pode ser condição para a paz”: 6 ocorrências. Fica na definição e numa retomada na conclusão.</w:t>
      </w:r>
    </w:p>
    <w:p>
      <w:pPr>
        <w:pStyle w:val="ListBullet"/>
      </w:pPr>
      <w:r>
        <w:t xml:space="preserve">“Agradecer pelo que já temos”: espalhado pelo texto. Fica concentrado em “Agradecer atrasado” e na conclusão, que fecha o ciclo.</w:t>
      </w:r>
    </w:p>
    <w:p>
      <w:pPr>
        <w:pStyle w:val="ListBullet"/>
      </w:pPr>
      <w:r>
        <w:t xml:space="preserve">Sistema 1 e Sistema 2: dois blocos. Fica um na explicação (novo zero) e um na prática (a pausa).</w:t>
      </w:r>
    </w:p>
    <w:p>
      <w:pPr>
        <w:pStyle w:val="Heading2"/>
      </w:pPr>
      <w:r>
        <w:t xml:space="preserve">Pontos fracos pontuais</w:t>
      </w:r>
    </w:p>
    <w:p>
      <w:pPr>
        <w:pStyle w:val="ListBullet"/>
      </w:pPr>
      <w:r>
        <w:t xml:space="preserve">“Algum tempo depois, passamos por uma experiência completamente diferente” é uma transição fraca para Okinawa.</w:t>
      </w:r>
    </w:p>
    <w:p>
      <w:pPr>
        <w:pStyle w:val="ListBullet"/>
      </w:pPr>
      <w:r>
        <w:t xml:space="preserve">A seção “Quatro estados possíveis” rotula quadrantes como “apatia ou resignação”, o que pode soar como julgamento de quem está em luto, descansando ou cuidando de alguém.</w:t>
      </w:r>
    </w:p>
    <w:p>
      <w:pPr>
        <w:pStyle w:val="ListBullet"/>
      </w:pPr>
      <w:r>
        <w:t xml:space="preserve">A conclusão termina com uma lista de antíteses (“Não é… É…”), seis seguidas, que é justamente o formato que você pediu para evitar.</w:t>
      </w:r>
    </w:p>
    <w:p>
      <w:pPr>
        <w:pStyle w:val="ListBullet"/>
      </w:pPr>
      <w:r>
        <w:t xml:space="preserve">Três afirmações científicas não tinham fonte (rejeição na adolescência, nostalgia, falácia narrativa) e uma fonte citada no texto não estava na lista (Choi et al., 2025).</w:t>
      </w:r>
    </w:p>
    <w:p>
      <w:pPr>
        <w:pStyle w:val="Heading2"/>
      </w:pPr>
      <w:r>
        <w:t xml:space="preserve">Oportunidades</w:t>
      </w:r>
    </w:p>
    <w:p>
      <w:pPr>
        <w:pStyle w:val="ListBullet"/>
      </w:pPr>
      <w:r>
        <w:t xml:space="preserve">Abrir e fechar com a mesma frase (“Essa praia nem é tão bonita”), dando ao ensaio forma circular.</w:t>
      </w:r>
    </w:p>
    <w:p>
      <w:pPr>
        <w:pStyle w:val="ListBullet"/>
      </w:pPr>
      <w:r>
        <w:t xml:space="preserve">Usar a seção de migalhas como a virada que prepara a praia.</w:t>
      </w:r>
    </w:p>
    <w:p>
      <w:pPr>
        <w:pStyle w:val="ListBullet"/>
      </w:pPr>
      <w:r>
        <w:t xml:space="preserve">Trazer os versículos para dentro da história: Deuteronômio 8 na prosperidade, Gálatas 6 no jardim, Gênesis 50 e Romanos 8 em Okinawa.</w:t>
      </w:r>
    </w:p>
    <w:p>
      <w:pPr>
        <w:pStyle w:val="ListBullet"/>
      </w:pPr>
      <w:r>
        <w:t xml:space="preserve">Usar a distinção entre distância objetiva e distância percebida, que é sua e tem força de ideia própria.</w:t>
      </w:r>
    </w:p>
    <w:p>
      <w:pPr>
        <w:pStyle w:val="ListBullet"/>
      </w:pPr>
      <w:r>
        <w:t xml:space="preserve">Usar o eu que lembra, de Kahneman, para dar ao carro, na volta da praia, um papel além de cenário.</w:t>
      </w:r>
    </w:p>
    <w:p>
      <w:pPr>
        <w:pStyle w:val="Heading1"/>
      </w:pPr>
      <w:r>
        <w:t xml:space="preserve">B) Nova estrutura</w:t>
      </w:r>
    </w:p>
    <w:p>
      <w:pPr>
        <w:pStyle w:val="Heading2"/>
      </w:pPr>
      <w:r>
        <w:t xml:space="preserve">A escolha da abertura</w:t>
      </w:r>
    </w:p>
    <w:p>
      <w:pPr>
        <w:pStyle w:val="ListBullet"/>
      </w:pPr>
      <w:r>
        <w:rPr>
          <w:b/>
        </w:rPr>
        <w:t xml:space="preserve">A) Abrir com o pão.</w:t>
      </w:r>
      <w:r>
        <w:t xml:space="preserve"> É uma boa metáfora, mas é hipotética e abstrata: o leitor encontra uma ideia, não uma pessoa. Funciona melhor como explicação logo depois do gancho.</w:t>
      </w:r>
    </w:p>
    <w:p>
      <w:pPr>
        <w:pStyle w:val="ListBullet"/>
      </w:pPr>
      <w:r>
        <w:rPr>
          <w:b/>
        </w:rPr>
        <w:t xml:space="preserve">B) Abrir com a praia simples (bolinhos, louvor, carro).</w:t>
      </w:r>
      <w:r>
        <w:t xml:space="preserve"> É a cena mais forte do texto, por isso não deve ser gasta na primeira página. Abrir com ela entrega o clímax e deixa o meio do ensaio sem destino.</w:t>
      </w:r>
    </w:p>
    <w:p>
      <w:pPr>
        <w:pStyle w:val="ListBullet"/>
      </w:pPr>
      <w:r>
        <w:rPr>
          <w:b/>
        </w:rPr>
        <w:t xml:space="preserve">C) Abrir com um paradoxo</w:t>
      </w:r>
      <w:r>
        <w:t xml:space="preserve"> (“conquistamos o que desejamos e deixamos de enxergar o valor”). É claro, mas sozinho soa como frase de palestra. O leitor concorda sem se reconhecer.</w:t>
      </w:r>
    </w:p>
    <w:p>
      <w:pPr>
        <w:pStyle w:val="ListBullet"/>
      </w:pPr>
      <w:r>
        <w:rPr>
          <w:b/>
        </w:rPr>
        <w:t xml:space="preserve">Escolha: uma variação de B e C.</w:t>
      </w:r>
      <w:r>
        <w:t xml:space="preserve"> O ensaio abre com a praia em sua versão desvalorizada: a frase “Essa praia nem é tão bonita”, que quase todo leitor já disse de alguma coisa sua. Logo em seguida vem o paradoxo, em linguagem do Alan, e então o pão, como imagem que explica. A praia do clímax fica guardada para depois, e o ensaio ganha forma circular: termina na mesma frase, agora entendida.</w:t>
      </w:r>
    </w:p>
    <w:p>
      <w:pPr>
        <w:pStyle w:val="Heading2"/>
      </w:pPr>
      <w:r>
        <w:t xml:space="preserve">A arquitetura</w:t>
      </w:r>
    </w:p>
    <w:p>
      <w:pPr>
        <w:widowControl/>
      </w:pPr>
      <w:r>
        <w:t xml:space="preserve">A V3 tem 14 seções (contra 33 na V2). Para cada uma, o papel na progressão e a origem na V2:</w:t>
      </w:r>
    </w:p>
    <w:p>
      <w:pPr>
        <w:pStyle w:val="ListBullet"/>
      </w:pPr>
      <w:r>
        <w:rPr>
          <w:b/>
        </w:rPr>
        <w:t xml:space="preserve">1. “Essa praia nem é tão bonita”.</w:t>
      </w:r>
      <w:r>
        <w:t xml:space="preserve"> Incômodo e pergunta, com o paradoxo e o pão. Vem de “Quando até uma praia perde o valor” e de “O pão”.</w:t>
      </w:r>
    </w:p>
    <w:p>
      <w:pPr>
        <w:pStyle w:val="ListBullet"/>
      </w:pPr>
      <w:r>
        <w:rPr>
          <w:b/>
        </w:rPr>
        <w:t xml:space="preserve">2. Agradecer atrasado.</w:t>
      </w:r>
      <w:r>
        <w:t xml:space="preserve"> Experiência pessoal: passaportes, casa, seishain, CX-5, “É isso?”. Vem de “Agradecer atrasado”, ampliada com o relato do dossiê (ateísmo, “Luciana acreditava em pedir”).</w:t>
      </w:r>
    </w:p>
    <w:p>
      <w:pPr>
        <w:pStyle w:val="ListBullet"/>
      </w:pPr>
      <w:r>
        <w:rPr>
          <w:b/>
        </w:rPr>
        <w:t xml:space="preserve">3. Quando a conquista vira o novo zero.</w:t>
      </w:r>
      <w:r>
        <w:t xml:space="preserve"> Descoberta e psicologia: pontos de referência, adaptação, Sistema 1, vácuo, distância objetiva e percebida, </w:t>
      </w:r>
      <w:r>
        <w:rPr>
          <w:i/>
        </w:rPr>
        <w:t xml:space="preserve">wanting</w:t>
      </w:r>
      <w:r>
        <w:t xml:space="preserve"> e </w:t>
      </w:r>
      <w:r>
        <w:rPr>
          <w:i/>
        </w:rPr>
        <w:t xml:space="preserve">liking</w:t>
      </w:r>
      <w:r>
        <w:t xml:space="preserve">, o ciclo. Funde quatro seções da V2.</w:t>
      </w:r>
    </w:p>
    <w:p>
      <w:pPr>
        <w:pStyle w:val="ListBullet"/>
      </w:pPr>
      <w:r>
        <w:rPr>
          <w:b/>
        </w:rPr>
        <w:t xml:space="preserve">4. Okinawa.</w:t>
      </w:r>
      <w:r>
        <w:t xml:space="preserve"> Conflito e perda: food truck, COVID, não romantizar, Park, falácia narrativa, providência, Brasil, ramo imobiliário. Funde “Okinawa”, “A narrativa que contamos depois” e “Brasil, retorno”.</w:t>
      </w:r>
    </w:p>
    <w:p>
      <w:pPr>
        <w:pStyle w:val="ListBullet"/>
      </w:pPr>
      <w:r>
        <w:rPr>
          <w:b/>
        </w:rPr>
        <w:t xml:space="preserve">5. Quando prosperar também é um problema.</w:t>
      </w:r>
      <w:r>
        <w:t xml:space="preserve"> Crise: trabalho até de madrugada, filhas, divórcio, idolatria, Deuteronômio 8.</w:t>
      </w:r>
    </w:p>
    <w:p>
      <w:pPr>
        <w:pStyle w:val="ListBullet"/>
      </w:pPr>
      <w:r>
        <w:rPr>
          <w:b/>
        </w:rPr>
        <w:t xml:space="preserve">6. Fomos procurar crescimento e encontramos nossas feridas.</w:t>
      </w:r>
      <w:r>
        <w:t xml:space="preserve"> Virada: cursos, Método CIS, conversão, batismo, separação entre fé e ciência.</w:t>
      </w:r>
    </w:p>
    <w:p>
      <w:pPr>
        <w:pStyle w:val="ListBullet"/>
      </w:pPr>
      <w:r>
        <w:rPr>
          <w:b/>
        </w:rPr>
        <w:t xml:space="preserve">7. O jardim, a capina e o deserto.</w:t>
      </w:r>
      <w:r>
        <w:t xml:space="preserve"> Reorganização: Gálatas 6, via negativa, deserto, antifragilidade, elefante e cavaleiro. Funde quatro seções.</w:t>
      </w:r>
    </w:p>
    <w:p>
      <w:pPr>
        <w:pStyle w:val="ListBullet"/>
      </w:pPr>
      <w:r>
        <w:rPr>
          <w:b/>
        </w:rPr>
        <w:t xml:space="preserve">8. Contentamento não é aceitar migalhas.</w:t>
      </w:r>
      <w:r>
        <w:t xml:space="preserve"> Correção decisiva: rejeição, “versão cansada que sobrava”, sensibilidade à rejeição, dignidade. Mudou de lugar (antes vinha depois da praia).</w:t>
      </w:r>
    </w:p>
    <w:p>
      <w:pPr>
        <w:pStyle w:val="ListBullet"/>
      </w:pPr>
      <w:r>
        <w:rPr>
          <w:b/>
        </w:rPr>
        <w:t xml:space="preserve">9. A praia.</w:t>
      </w:r>
      <w:r>
        <w:t xml:space="preserve"> Clímax e descoberta do contentamento: “Não tínhamos quase nada. Tínhamos muito.” Inclui o eu que lembra.</w:t>
      </w:r>
    </w:p>
    <w:p>
      <w:pPr>
        <w:pStyle w:val="ListBullet"/>
      </w:pPr>
      <w:r>
        <w:rPr>
          <w:b/>
        </w:rPr>
        <w:t xml:space="preserve">10. Prosperidade melhora o cenário.</w:t>
      </w:r>
      <w:r>
        <w:t xml:space="preserve"> O que a descoberta não significa: dinheiro importa, ilusão de foco, cenário e experiência. Funde a seção de mesmo nome com “A ilusão do foco”.</w:t>
      </w:r>
    </w:p>
    <w:p>
      <w:pPr>
        <w:pStyle w:val="ListBullet"/>
      </w:pPr>
      <w:r>
        <w:rPr>
          <w:b/>
        </w:rPr>
        <w:t xml:space="preserve">11. O que passei a chamar de Contentamento Dinâmico.</w:t>
      </w:r>
      <w:r>
        <w:t xml:space="preserve"> Formulação do conceito: definição, por que é dinâmico (desenvolvimento ao longo da vida), quatro dimensões, transcendência, dois eixos. Reúne cinco seções da V2 e chega depois de o leitor ter vivido o problema.</w:t>
      </w:r>
    </w:p>
    <w:p>
      <w:pPr>
        <w:pStyle w:val="ListBullet"/>
      </w:pPr>
      <w:r>
        <w:rPr>
          <w:b/>
        </w:rPr>
        <w:t xml:space="preserve">12. Filho antes de conquistador.</w:t>
      </w:r>
      <w:r>
        <w:t xml:space="preserve"> Dimensão espiritual: identidade, gratidão não é moeda, pai e filha, Filipenses 4, 1 Timóteo 6, os três níveis de gratidão. Funde quatro seções.</w:t>
      </w:r>
    </w:p>
    <w:p>
      <w:pPr>
        <w:pStyle w:val="ListBullet"/>
      </w:pPr>
      <w:r>
        <w:rPr>
          <w:b/>
        </w:rPr>
        <w:t xml:space="preserve">13. Na prática: memória, subtração e uma pausa.</w:t>
      </w:r>
      <w:r>
        <w:t xml:space="preserve"> Aplicação: nostalgia, subtração mental, Sistema 2 como pausa, o cliente.</w:t>
      </w:r>
    </w:p>
    <w:p>
      <w:pPr>
        <w:pStyle w:val="ListBullet"/>
      </w:pPr>
      <w:r>
        <w:rPr>
          <w:b/>
        </w:rPr>
        <w:t xml:space="preserve">14. Entre o agora e o depois.</w:t>
      </w:r>
      <w:r>
        <w:t xml:space="preserve"> Conclusão: volta à praia, à régua e ao agradecer atrasado, e termina numa imagem.</w:t>
      </w:r>
    </w:p>
    <w:p>
      <w:pPr>
        <w:widowControl/>
      </w:pPr>
      <w:r>
        <w:t xml:space="preserve">Seguem-se a nota conceitual, as referências bíblicas, as referências em APA 7 e a nota sobre o autor.</w:t>
      </w:r>
    </w:p>
    <w:p>
      <w:pPr>
        <w:pStyle w:val="Heading1"/>
      </w:pPr>
      <w:r>
        <w:t xml:space="preserve">D) Relatório de alterações</w:t>
      </w:r>
    </w:p>
    <w:p>
      <w:pPr>
        <w:pStyle w:val="Heading2"/>
      </w:pPr>
      <w:r>
        <w:t xml:space="preserve">O que cortei</w:t>
      </w:r>
    </w:p>
    <w:p>
      <w:pPr>
        <w:pStyle w:val="ListBullet"/>
      </w:pPr>
      <w:r>
        <w:rPr>
          <w:b/>
        </w:rPr>
        <w:t xml:space="preserve">A seção “O problema da física quântica”, inteira.</w:t>
      </w:r>
      <w:r>
        <w:t xml:space="preserve"> Ver a recomendação abaixo.</w:t>
      </w:r>
    </w:p>
    <w:p>
      <w:pPr>
        <w:pStyle w:val="ListBullet"/>
      </w:pPr>
      <w:r>
        <w:rPr>
          <w:b/>
        </w:rPr>
        <w:t xml:space="preserve">Cerca de 27 frases em destaque.</w:t>
      </w:r>
      <w:r>
        <w:t xml:space="preserve"> De ~40 ficaram 13. Saíram, entre outras: “Não glorificar a crise. Reorganizar a estrutura.”, “contentamento exige atenção”, “O cavaleiro pode ter entendido…”, “A capina é crescimento por remoção” (ficou no corpo, sem destaque), “Aquilo é, para mim, uma imagem de Contentamento Dinâmico”, “Eu já caminhei” (ficou no corpo) e “Quanto eu valho?” (ficou no corpo).</w:t>
      </w:r>
    </w:p>
    <w:p>
      <w:pPr>
        <w:pStyle w:val="ListBullet"/>
      </w:pPr>
      <w:r>
        <w:rPr>
          <w:b/>
        </w:rPr>
        <w:t xml:space="preserve">Os dois diagramas de ciclo em destaque</w:t>
      </w:r>
      <w:r>
        <w:t xml:space="preserve"> (“desejo → esforço → …”). Viraram uma frase em prosa, para não parecer manual.</w:t>
      </w:r>
    </w:p>
    <w:p>
      <w:pPr>
        <w:pStyle w:val="ListBullet"/>
      </w:pPr>
      <w:r>
        <w:rPr>
          <w:b/>
        </w:rPr>
        <w:t xml:space="preserve">A lista de antíteses da conclusão.</w:t>
      </w:r>
      <w:r>
        <w:t xml:space="preserve"> Ficaram duas, integradas a um parágrafo.</w:t>
      </w:r>
    </w:p>
    <w:p>
      <w:pPr>
        <w:pStyle w:val="ListBullet"/>
      </w:pPr>
      <w:r>
        <w:rPr>
          <w:b/>
        </w:rPr>
        <w:t xml:space="preserve">Seções isoladas fundidas:</w:t>
      </w:r>
      <w:r>
        <w:t xml:space="preserve"> “Rápido, lento e treinável”, “A memória como antídoto”, “Quatro estados possíveis”, “Nem todo crescimento significa acrescentar”, “A narrativa que contamos depois”, “A ilusão do foco”, “Gratidão não é magia”, “Deus não é uma máquina de recompensa”, “Não quero passar a vida esperando começar a viver”.</w:t>
      </w:r>
    </w:p>
    <w:p>
      <w:pPr>
        <w:pStyle w:val="ListBullet"/>
      </w:pPr>
      <w:r>
        <w:rPr>
          <w:b/>
        </w:rPr>
        <w:t xml:space="preserve">Repetições</w:t>
      </w:r>
      <w:r>
        <w:t xml:space="preserve"> listadas no diagnóstico.</w:t>
      </w:r>
    </w:p>
    <w:p>
      <w:pPr>
        <w:pStyle w:val="Heading2"/>
      </w:pPr>
      <w:r>
        <w:t xml:space="preserve">O que aprofundei (sem inventar fatos)</w:t>
      </w:r>
    </w:p>
    <w:p>
      <w:pPr>
        <w:pStyle w:val="ListBullet"/>
      </w:pPr>
      <w:r>
        <w:rPr>
          <w:b/>
        </w:rPr>
        <w:t xml:space="preserve">A praia.</w:t>
      </w:r>
      <w:r>
        <w:t xml:space="preserve"> A cena tem a mesma sequência de fatos, mas com mais ritmo, a lista invertida (“o que levamos” e “o que tínhamos”), a ligação com a COVID (saúde para estar ali) e com a crise (“um ao outro, coisa que pouco tempo antes não era certa”), e o eu que lembra no carro. Incluí o relato do dossiê de que vocês tentaram repetir a experiência, com a ressalva de que contentamento não é receita.</w:t>
      </w:r>
    </w:p>
    <w:p>
      <w:pPr>
        <w:pStyle w:val="ListBullet"/>
      </w:pPr>
      <w:r>
        <w:rPr>
          <w:b/>
        </w:rPr>
        <w:t xml:space="preserve">Agradecer atrasado.</w:t>
      </w:r>
      <w:r>
        <w:t xml:space="preserve"> Incluí o relato do dossiê sobre o ateísmo (“A Luciana acreditava em pedir. Eu desejava as coisas, mas não as pedia a ninguém”) e uma nuance: “É isso?” pode não ser só ingratidão.</w:t>
      </w:r>
    </w:p>
    <w:p>
      <w:pPr>
        <w:pStyle w:val="ListBullet"/>
      </w:pPr>
      <w:r>
        <w:rPr>
          <w:b/>
        </w:rPr>
        <w:t xml:space="preserve">Okinawa.</w:t>
      </w:r>
      <w:r>
        <w:t xml:space="preserve"> Incluí o “só financeira” do dossiê, os empréstimos e o peso que a viagem ao Brasil ganha depois da doença.</w:t>
      </w:r>
    </w:p>
    <w:p>
      <w:pPr>
        <w:pStyle w:val="ListBullet"/>
      </w:pPr>
      <w:r>
        <w:rPr>
          <w:b/>
        </w:rPr>
        <w:t xml:space="preserve">Migalhas.</w:t>
      </w:r>
      <w:r>
        <w:t xml:space="preserve"> Agora há a passagem do livro da Luciana, as três experiências de rejeição relatadas no dossiê, a pesquisa com amostra e idades e o par resignação/contentamento. Há também um parágrafo final que devolve à Luciana a condição de pessoa sobrecarregada, não de culpada.</w:t>
      </w:r>
    </w:p>
    <w:p>
      <w:pPr>
        <w:pStyle w:val="ListBullet"/>
      </w:pPr>
      <w:r>
        <w:rPr>
          <w:b/>
        </w:rPr>
        <w:t xml:space="preserve">Vácuo.</w:t>
      </w:r>
      <w:r>
        <w:t xml:space="preserve"> Separei distância objetiva de distância percebida e acrescentei a ressalva sobre privação real.</w:t>
      </w:r>
    </w:p>
    <w:p>
      <w:pPr>
        <w:pStyle w:val="ListBullet"/>
      </w:pPr>
      <w:r>
        <w:rPr>
          <w:b/>
        </w:rPr>
        <w:t xml:space="preserve">Prosperidade.</w:t>
      </w:r>
      <w:r>
        <w:t xml:space="preserve"> Trouxe a história Kahneman e Deaton (2010) até Killingsworth e colegas (2023), que é a evidência mais honesta para “dinheiro importa”.</w:t>
      </w:r>
    </w:p>
    <w:p>
      <w:pPr>
        <w:pStyle w:val="ListBullet"/>
      </w:pPr>
      <w:r>
        <w:rPr>
          <w:b/>
        </w:rPr>
        <w:t xml:space="preserve">Gratidão social.</w:t>
      </w:r>
      <w:r>
        <w:t xml:space="preserve"> Acrescentei Algoe (2012), a teoria </w:t>
      </w:r>
      <w:r>
        <w:rPr>
          <w:i/>
        </w:rPr>
        <w:t xml:space="preserve">find-remind-and-bind</w:t>
      </w:r>
      <w:r>
        <w:t xml:space="preserve">.</w:t>
      </w:r>
    </w:p>
    <w:p>
      <w:pPr>
        <w:pStyle w:val="Heading2"/>
      </w:pPr>
      <w:r>
        <w:t xml:space="preserve">O que mudou de lugar</w:t>
      </w:r>
    </w:p>
    <w:p>
      <w:pPr>
        <w:pStyle w:val="ListBullet"/>
      </w:pPr>
      <w:r>
        <w:t xml:space="preserve">A definição do conceito passou da 6ª para a 11ª seção, depois da praia.</w:t>
      </w:r>
    </w:p>
    <w:p>
      <w:pPr>
        <w:pStyle w:val="ListBullet"/>
      </w:pPr>
      <w:r>
        <w:t xml:space="preserve">“Contentamento vs. migalhas” passou de depois para antes da praia.</w:t>
      </w:r>
    </w:p>
    <w:p>
      <w:pPr>
        <w:pStyle w:val="ListBullet"/>
      </w:pPr>
      <w:r>
        <w:t xml:space="preserve">“Quando até uma praia perde o valor” virou a abertura.</w:t>
      </w:r>
    </w:p>
    <w:p>
      <w:pPr>
        <w:pStyle w:val="ListBullet"/>
      </w:pPr>
      <w:r>
        <w:t xml:space="preserve">O pão desceu do primeiro parágrafo para o quinto, como explicação do gancho.</w:t>
      </w:r>
    </w:p>
    <w:p>
      <w:pPr>
        <w:pStyle w:val="ListBullet"/>
      </w:pPr>
      <w:r>
        <w:t xml:space="preserve">“Desenvolvimento ao longo da vida” saiu do início e foi para dentro da seção do conceito, como resposta a “por que dinâmico?”.</w:t>
      </w:r>
    </w:p>
    <w:p>
      <w:pPr>
        <w:pStyle w:val="ListBullet"/>
      </w:pPr>
      <w:r>
        <w:t xml:space="preserve">O elefante e o cavaleiro saíram do fim e foram para o deserto, onde mostram que entender não é mudar.</w:t>
      </w:r>
    </w:p>
    <w:p>
      <w:pPr>
        <w:pStyle w:val="ListBullet"/>
      </w:pPr>
      <w:r>
        <w:t xml:space="preserve">A ilusão de foco saiu de depois de “Filho antes de conquistador” e foi para a seção sobre prosperidade.</w:t>
      </w:r>
    </w:p>
    <w:p>
      <w:pPr>
        <w:pStyle w:val="ListBullet"/>
      </w:pPr>
      <w:r>
        <w:t xml:space="preserve">O cliente saiu do meio da teoria e foi para a aplicação, perto do fim.</w:t>
      </w:r>
    </w:p>
    <w:p>
      <w:pPr>
        <w:pStyle w:val="Heading2"/>
      </w:pPr>
      <w:r>
        <w:t xml:space="preserve">Ideias científicas corrigidas ou precisadas</w:t>
      </w:r>
    </w:p>
    <w:p>
      <w:pPr>
        <w:pStyle w:val="ListBullet"/>
      </w:pPr>
      <w:r>
        <w:rPr>
          <w:b/>
        </w:rPr>
        <w:t xml:space="preserve">Teoria da Perspectiva.</w:t>
      </w:r>
      <w:r>
        <w:t xml:space="preserve"> Agora com a referência primária (Kahneman &amp; Tversky, 1979) e o aviso de que a teoria trata de decisões sob risco e de que levá-la para a casa é uma extensão do autor.</w:t>
      </w:r>
    </w:p>
    <w:p>
      <w:pPr>
        <w:pStyle w:val="ListBullet"/>
      </w:pPr>
      <w:r>
        <w:rPr>
          <w:b/>
        </w:rPr>
        <w:t xml:space="preserve">Conferência do Nobel.</w:t>
      </w:r>
      <w:r>
        <w:t xml:space="preserve"> A V2 atribuía à conferência um texto de 2003. A conferência é de 2002; a versão publicada é Kahneman (2003) na </w:t>
      </w:r>
      <w:r>
        <w:rPr>
          <w:i/>
        </w:rPr>
        <w:t xml:space="preserve">American Economic Review</w:t>
      </w:r>
      <w:r>
        <w:t xml:space="preserve">. Mantive a referência publicada.</w:t>
      </w:r>
    </w:p>
    <w:p>
      <w:pPr>
        <w:pStyle w:val="ListBullet"/>
      </w:pPr>
      <w:r>
        <w:rPr>
          <w:b/>
        </w:rPr>
        <w:t xml:space="preserve">Sistema 1 e 2.</w:t>
      </w:r>
      <w:r>
        <w:t xml:space="preserve"> Mantive “não são partes do cérebro” e acrescentei que o automático também carrega afeto e gratidão e que o deliberado também pode servir à inveja. Ficou explícito que o Sistema 2 não é o “sistema da gratidão”, e sim o espaço para revisar referências, lembrar conquistas e reinterpretar comparações.</w:t>
      </w:r>
    </w:p>
    <w:p>
      <w:pPr>
        <w:pStyle w:val="ListBullet"/>
      </w:pPr>
      <w:r>
        <w:rPr>
          <w:b/>
        </w:rPr>
        <w:t xml:space="preserve">Adaptação hedônica.</w:t>
      </w:r>
      <w:r>
        <w:t xml:space="preserve"> Sheldon e Lyubomirsky (2012) estão descritos com os dois caminhos do modelo e os dois moderadores (apreciação e variedade). Acrescentei Diener e colegas (2006): a adaptação não é universal.</w:t>
      </w:r>
    </w:p>
    <w:p>
      <w:pPr>
        <w:pStyle w:val="ListBullet"/>
      </w:pPr>
      <w:r>
        <w:rPr>
          <w:b/>
        </w:rPr>
        <w:t xml:space="preserve"/>
      </w:r>
      <w:r>
        <w:rPr>
          <w:i/>
        </w:rPr>
        <w:t xml:space="preserve">Wanting</w:t>
      </w:r>
      <w:r>
        <w:t xml:space="preserve"> e </w:t>
      </w:r>
      <w:r>
        <w:rPr>
          <w:i/>
        </w:rPr>
        <w:t xml:space="preserve">liking</w:t>
      </w:r>
      <w:r>
        <w:t xml:space="preserve">.** Acrescentei Berridge e Robinson (2016) e o aviso de que os estudos tratam de recompensas básicas e de dependência; a aplicação ao cotidiano é interpretação.</w:t>
      </w:r>
    </w:p>
    <w:p>
      <w:pPr>
        <w:pStyle w:val="ListBullet"/>
      </w:pPr>
      <w:r>
        <w:rPr>
          <w:b/>
        </w:rPr>
        <w:t xml:space="preserve">Aspiration gap.</w:t>
      </w:r>
      <w:r>
        <w:t xml:space="preserve"> Descrevi o estudo (EU-SILC, 31 países, controle de afeto e de variáveis sociodemográficas), disse que é associação e não causa e que “vácuo aspiracional” é termo autoral.</w:t>
      </w:r>
    </w:p>
    <w:p>
      <w:pPr>
        <w:pStyle w:val="ListBullet"/>
      </w:pPr>
      <w:r>
        <w:rPr>
          <w:b/>
        </w:rPr>
        <w:t xml:space="preserve">Desenvolvimento.</w:t>
      </w:r>
      <w:r>
        <w:t xml:space="preserve"> Mantive que o bebê não sente gratidão consciente. Acrescentei a regulação na relação com o cuidador (NSCDC, 2004) e corrigi a ordem de autores do SDT (Ryan &amp; Deci).</w:t>
      </w:r>
    </w:p>
    <w:p>
      <w:pPr>
        <w:pStyle w:val="ListBullet"/>
      </w:pPr>
      <w:r>
        <w:rPr>
          <w:b/>
        </w:rPr>
        <w:t xml:space="preserve">Carstensen.</w:t>
      </w:r>
      <w:r>
        <w:t xml:space="preserve"> A referência da V2 (“1992/2021 … revisões posteriores são discutidas…”) não era uma referência válida. Substituí por Carstensen, Isaacowitz e Charles (1999), </w:t>
      </w:r>
      <w:r>
        <w:rPr>
          <w:i/>
        </w:rPr>
        <w:t xml:space="preserve">American Psychologist</w:t>
      </w:r>
      <w:r>
        <w:t xml:space="preserve">.</w:t>
      </w:r>
    </w:p>
    <w:p>
      <w:pPr>
        <w:pStyle w:val="ListBullet"/>
      </w:pPr>
      <w:r>
        <w:rPr>
          <w:b/>
        </w:rPr>
        <w:t xml:space="preserve">Sensibilidade à rejeição.</w:t>
      </w:r>
      <w:r>
        <w:t xml:space="preserve"> A afirmação longitudinal não tinha fonte. Agora: Downey e Feldman (1996) para o conceito; Hafen e colegas (2014) para o estudo (180 jovens, dos 16 aos 22 anos). Deixei explícito que associação não é destino e que não há diagnóstico.</w:t>
      </w:r>
    </w:p>
    <w:p>
      <w:pPr>
        <w:pStyle w:val="ListBullet"/>
      </w:pPr>
      <w:r>
        <w:rPr>
          <w:b/>
        </w:rPr>
        <w:t xml:space="preserve">Ilusão de foco.</w:t>
      </w:r>
      <w:r>
        <w:t xml:space="preserve"> Não tinha fonte. Agora: Schkade e Kahneman (1998); Kahneman e colegas (2006), </w:t>
      </w:r>
      <w:r>
        <w:rPr>
          <w:i/>
        </w:rPr>
        <w:t xml:space="preserve">Science</w:t>
      </w:r>
      <w:r>
        <w:t xml:space="preserve">.</w:t>
      </w:r>
    </w:p>
    <w:p>
      <w:pPr>
        <w:pStyle w:val="ListBullet"/>
      </w:pPr>
      <w:r>
        <w:rPr>
          <w:b/>
        </w:rPr>
        <w:t xml:space="preserve">Renda e bem-estar.</w:t>
      </w:r>
      <w:r>
        <w:t xml:space="preserve"> Contextualizei a colaboração de 2023 como resposta ao estudo de 2010 e descrevi o achado com precisão: o platô aparece sobretudo entre os mais infelizes.</w:t>
      </w:r>
    </w:p>
    <w:p>
      <w:pPr>
        <w:pStyle w:val="ListBullet"/>
      </w:pPr>
      <w:r>
        <w:rPr>
          <w:b/>
        </w:rPr>
        <w:t xml:space="preserve">Choi e colegas (2025).</w:t>
      </w:r>
      <w:r>
        <w:t xml:space="preserve"> Estava citado no texto e ausente da lista. Incluí os cinco autores (falta Oishi na V2), o periódico (PNAS), o volume e o DOI. O efeito médio é g = 0,19, “pequeno, porém consistente”.</w:t>
      </w:r>
    </w:p>
    <w:p>
      <w:pPr>
        <w:pStyle w:val="ListBullet"/>
      </w:pPr>
      <w:r>
        <w:rPr>
          <w:b/>
        </w:rPr>
        <w:t xml:space="preserve">Koo e colegas (2008).</w:t>
      </w:r>
      <w:r>
        <w:t xml:space="preserve"> Conferi no artigo original: o estudo 4 mede satisfação com o relacionamento. Acrescentei que as pessoas previam o contrário, que é o que dá nome ao artigo.</w:t>
      </w:r>
    </w:p>
    <w:p>
      <w:pPr>
        <w:pStyle w:val="ListBullet"/>
      </w:pPr>
      <w:r>
        <w:rPr>
          <w:b/>
        </w:rPr>
        <w:t xml:space="preserve">Nostalgia.</w:t>
      </w:r>
      <w:r>
        <w:t xml:space="preserve"> Não tinha fonte. Agora: Sedikides e Wildschut (2016).</w:t>
      </w:r>
    </w:p>
    <w:p>
      <w:pPr>
        <w:pStyle w:val="ListBullet"/>
      </w:pPr>
      <w:r>
        <w:rPr>
          <w:b/>
        </w:rPr>
        <w:t xml:space="preserve">Falácia narrativa.</w:t>
      </w:r>
      <w:r>
        <w:t xml:space="preserve"> Não tinha fonte. Agora: Taleb (2007). Antifragilidade e via negativa: Taleb (2012).</w:t>
      </w:r>
    </w:p>
    <w:p>
      <w:pPr>
        <w:pStyle w:val="ListBullet"/>
      </w:pPr>
      <w:r>
        <w:rPr>
          <w:b/>
        </w:rPr>
        <w:t xml:space="preserve">Elefante e cavaleiro.</w:t>
      </w:r>
      <w:r>
        <w:t xml:space="preserve"> Agora atribuído como metáfora do próprio Haidt (2006), com o aviso de que não é um mapa do cérebro.</w:t>
      </w:r>
    </w:p>
    <w:p>
      <w:pPr>
        <w:pStyle w:val="ListBullet"/>
      </w:pPr>
      <w:r>
        <w:rPr>
          <w:b/>
        </w:rPr>
        <w:t xml:space="preserve">Referências em APA 7</w:t>
      </w:r>
      <w:r>
        <w:t xml:space="preserve">, com DOI conferido um a um no Crossref, exceto os livros, que não têm DOI.</w:t>
      </w:r>
    </w:p>
    <w:p>
      <w:pPr>
        <w:pStyle w:val="Heading2"/>
      </w:pPr>
      <w:r>
        <w:t xml:space="preserve">Trechos espirituais ajustados</w:t>
      </w:r>
    </w:p>
    <w:p>
      <w:pPr>
        <w:pStyle w:val="ListBullet"/>
      </w:pPr>
      <w:r>
        <w:rPr>
          <w:b/>
        </w:rPr>
        <w:t xml:space="preserve">A fé virou coluna estrutural.</w:t>
      </w:r>
      <w:r>
        <w:t xml:space="preserve"> Os versículos agora estão dentro da história: Gênesis 50:20 e Romanos 8:28 em Okinawa, com a ressalva de que não chamam o mal de bom; Mateus 6:24 e Deuteronômio 8 na prosperidade; Gálatas 6 no jardim; Romanos 8:15, 1 João 4:19 e o Salmo 139 em “Filho antes de conquistador”; Filipenses 4 e 1 Timóteo 6 no contentamento aprendido.</w:t>
      </w:r>
    </w:p>
    <w:p>
      <w:pPr>
        <w:pStyle w:val="ListBullet"/>
      </w:pPr>
      <w:r>
        <w:rPr>
          <w:b/>
        </w:rPr>
        <w:t xml:space="preserve">Passagens acrescentadas que não estavam na sua lista:</w:t>
      </w:r>
      <w:r>
        <w:t xml:space="preserve"> Mateus 5:45 e Lucas 17:11–19 (os dez leprosos). Elas sustentam a tese de que a gratidão não é moeda. Aprove ou corte.</w:t>
      </w:r>
    </w:p>
    <w:p>
      <w:pPr>
        <w:pStyle w:val="ListBullet"/>
      </w:pPr>
      <w:r>
        <w:rPr>
          <w:b/>
        </w:rPr>
        <w:t xml:space="preserve">1 Timóteo 6:17</w:t>
      </w:r>
      <w:r>
        <w:t xml:space="preserve"> passou a sustentar que desfrutar não é pecado; o erro é pôr a esperança no lugar errado.</w:t>
      </w:r>
    </w:p>
    <w:p>
      <w:pPr>
        <w:pStyle w:val="ListBullet"/>
      </w:pPr>
      <w:r>
        <w:rPr>
          <w:b/>
        </w:rPr>
        <w:t xml:space="preserve">Filipenses 4:13</w:t>
      </w:r>
      <w:r>
        <w:t xml:space="preserve"> recebeu uma linha de contexto: não é promessa de bater meta.</w:t>
      </w:r>
    </w:p>
    <w:p>
      <w:pPr>
        <w:pStyle w:val="ListBullet"/>
      </w:pPr>
      <w:r>
        <w:rPr>
          <w:b/>
        </w:rPr>
        <w:t xml:space="preserve">Uma frase evita exclusivismo:</w:t>
      </w:r>
      <w:r>
        <w:t xml:space="preserve"> “não estou dizendo que só quem crê pode viver isso”.</w:t>
      </w:r>
    </w:p>
    <w:p>
      <w:pPr>
        <w:pStyle w:val="ListBullet"/>
      </w:pPr>
      <w:r>
        <w:rPr>
          <w:b/>
        </w:rPr>
        <w:t xml:space="preserve">A conversão não é tratada como fim do trabalho</w:t>
      </w:r>
      <w:r>
        <w:t xml:space="preserve">, e os cursos não aparecem como tratamento nem como caminho obrigatório.</w:t>
      </w:r>
    </w:p>
    <w:p>
      <w:pPr>
        <w:pStyle w:val="Heading2"/>
      </w:pPr>
      <w:r>
        <w:t xml:space="preserve">O conceito em quatro formulações</w:t>
      </w:r>
    </w:p>
    <w:p>
      <w:pPr>
        <w:widowControl/>
      </w:pPr>
      <w:r>
        <w:rPr>
          <w:b/>
        </w:rPr>
        <w:t xml:space="preserve">Análise da definição da V2.</w:t>
      </w:r>
      <w:r>
        <w:t xml:space="preserve"> Ela é precisa, mas longa, e o advérbio “responsavelmente” pesa. O problema real é que ela fala em “única fonte” quando o ensaio inteiro denuncia a </w:t>
      </w:r>
      <w:r>
        <w:rPr>
          <w:i/>
        </w:rPr>
        <w:t xml:space="preserve">condição</w:t>
      </w:r>
      <w:r>
        <w:t xml:space="preserve"> (“enquanto eu não chegar, minha vida não vale”). A nova versão troca “única fonte” por “condição”, alinhando a definição ao subtítulo. Também acrescenta “cultivada ao longo da vida”, que carrega duas ideias do texto: o dinâmico e o “aprendi” de Filipenses.</w:t>
      </w:r>
    </w:p>
    <w:p>
      <w:pPr>
        <w:pStyle w:val="ListBullet"/>
      </w:pPr>
      <w:r>
        <w:rPr>
          <w:b/>
        </w:rPr>
        <w:t xml:space="preserve">Definição completa:</w:t>
      </w:r>
      <w:r>
        <w:t xml:space="preserve"> Contentamento Dinâmico é a capacidade, cultivada ao longo da vida, de reconhecer, integrar e desfrutar o valor real do presente enquanto se continua caminhando, com responsabilidade e flexibilidade, em direção ao futuro, sem permitir que a próxima conquista se torne condição para a própria paz, identidade ou valor.</w:t>
      </w:r>
    </w:p>
    <w:p>
      <w:pPr>
        <w:pStyle w:val="ListBullet"/>
      </w:pPr>
      <w:r>
        <w:rPr>
          <w:b/>
        </w:rPr>
        <w:t xml:space="preserve">Definição curta:</w:t>
      </w:r>
      <w:r>
        <w:t xml:space="preserve"> a capacidade de reconhecer e desfrutar o valor real do presente sem deixar de crescer e sem fazer da próxima conquista a condição para estar em paz.</w:t>
      </w:r>
    </w:p>
    <w:p>
      <w:pPr>
        <w:pStyle w:val="ListBullet"/>
      </w:pPr>
      <w:r>
        <w:rPr>
          <w:b/>
        </w:rPr>
        <w:t xml:space="preserve">Em uma frase:</w:t>
      </w:r>
      <w:r>
        <w:t xml:space="preserve"> desejar o próximo nível sem fazer dele a condição para estar em paz.</w:t>
      </w:r>
    </w:p>
    <w:p>
      <w:pPr>
        <w:pStyle w:val="ListBullet"/>
      </w:pPr>
      <w:r>
        <w:rPr>
          <w:b/>
        </w:rPr>
        <w:t xml:space="preserve">Versão popular:</w:t>
      </w:r>
      <w:r>
        <w:t xml:space="preserve"> continuar indo atrás do que você quer sem esperar chegar lá para começar a viver. Como slogan, para título de palestra ou capa: “Crescer sem adiar a vida.”</w:t>
      </w:r>
    </w:p>
    <w:p>
      <w:pPr>
        <w:pStyle w:val="Heading2"/>
      </w:pPr>
      <w:r>
        <w:t xml:space="preserve">Frases de impacto: o que ficou e o que saiu</w:t>
      </w:r>
    </w:p>
    <w:p>
      <w:pPr>
        <w:pStyle w:val="ListBullet"/>
      </w:pPr>
      <w:r>
        <w:rPr>
          <w:b/>
        </w:rPr>
        <w:t xml:space="preserve">Ficaram, com destaque:</w:t>
      </w:r>
      <w:r>
        <w:t xml:space="preserve"> “O que muda não é o pão…”; “Crescimento não prova que a semente é boa”; “Prosperidade melhora o cenário. Contentamento melhora a experiência”, agora seguida de uma linha que admite a simplificação; “Contentamento é uma habilidade aprendida, não uma circunstância alcançada”, ancorada em Filipenses; “Filho antes de conquistador”; “O problema não é criar o próximo desejo. É criá-lo antes de integrar a conquista anterior”; “Contentamento não é aceitar migalhas…”; “A gratidão não é uma técnica para convencer Deus a dar o próximo presente”.</w:t>
      </w:r>
    </w:p>
    <w:p>
      <w:pPr>
        <w:pStyle w:val="ListBullet"/>
      </w:pPr>
      <w:r>
        <w:rPr>
          <w:b/>
        </w:rPr>
        <w:t xml:space="preserve">Ficaram, sem destaque, no corpo:</w:t>
      </w:r>
      <w:r>
        <w:t xml:space="preserve"> “Não preciso abandonar o extraordinário. Preciso recuperar o ordinário”; “agradecer atrasado”, que virou título de seção e fio da conclusão; “não quero mais entregar a ela a minha paz como pagamento antecipado”, na conclusão.</w:t>
      </w:r>
    </w:p>
    <w:p>
      <w:pPr>
        <w:pStyle w:val="ListBullet"/>
      </w:pPr>
      <w:r>
        <w:rPr>
          <w:b/>
        </w:rPr>
        <w:t xml:space="preserve">Nova, sem destaque:</w:t>
      </w:r>
      <w:r>
        <w:t xml:space="preserve"> “Não tínhamos quase nada. Tínhamos muito.” Ela fica como parágrafo isolado, mas sem caixa, para não competir com a fala do carro.</w:t>
      </w:r>
    </w:p>
    <w:p>
      <w:pPr>
        <w:pStyle w:val="Heading2"/>
      </w:pPr>
      <w:r>
        <w:t xml:space="preserve">Física quântica: recomendação</w:t>
      </w:r>
    </w:p>
    <w:p>
      <w:pPr>
        <w:widowControl/>
      </w:pPr>
      <w:r>
        <w:rPr>
          <w:b/>
        </w:rPr>
        <w:t xml:space="preserve">Recomendo retirar do ensaio.</w:t>
      </w:r>
      <w:r>
        <w:t xml:space="preserve"> A seção não acrescenta nada à experiência do leitor: ela explica o que a física não prova. Num artigo para LinkedIn ou para veículo cristão, abre espaço para a leitura de que o autor flerta com pseudociência, mesmo com todas as ressalvas. A ideia boa que estava ali (três sentidos diferentes de “olhar”) já está coberta pelo Salmo 139 e pela atenção na psicologia. Se você quiser mantê-la, por exemplo numa versão de livro, use no máximo este parágrafo, numa nota:</w:t>
      </w:r>
    </w:p>
    <w:p>
      <w:pPr>
        <w:pStyle w:val="KeyQuote"/>
        <w:pBdr>
          <w:left w:val="single" w:sz="12" w:space="8" w:color="203A5F"/>
        </w:pBdr>
      </w:pPr>
      <w:r>
        <w:t xml:space="preserve">Em algum momento pensei na figura do observador na experiência da dupla fenda. Não uso a dupla fenda para provar Deus. Uso apenas como metáfora, e para lembrar que observação, atenção e interpretação não são a mesma coisa na física, na psicologia e na fé. Na física, medir é interagir com um sistema. Na psicologia, a atenção muda o que percebo e lembro. Na minha fé, Deus é aquele que me conhece. São três afirmações diferentes, e não preciso misturá-las para encontrar sentido entre elas.</w:t>
      </w:r>
    </w:p>
    <w:p>
      <w:pPr>
        <w:pStyle w:val="Heading2"/>
      </w:pPr>
      <w:r>
        <w:t xml:space="preserve">Pontos que precisam da sua decisão</w:t>
      </w:r>
    </w:p>
    <w:p>
      <w:pPr>
        <w:widowControl/>
      </w:pPr>
      <w:r>
        <w:rPr>
          <w:b/>
        </w:rPr>
        <w:t xml:space="preserve">Fatos e pessoas reais</w:t>
      </w:r>
    </w:p>
    <w:p>
      <w:pPr>
        <w:pStyle w:val="ListBullet"/>
      </w:pPr>
      <w:r>
        <w:rPr>
          <w:b/>
        </w:rPr>
        <w:t xml:space="preserve">O livro da Luciana.</w:t>
      </w:r>
      <w:r>
        <w:t xml:space="preserve"> A V3 cita </w:t>
      </w:r>
      <w:r>
        <w:rPr>
          <w:i/>
        </w:rPr>
        <w:t xml:space="preserve">A Menina Elefante</w:t>
      </w:r>
      <w:r>
        <w:t xml:space="preserve"> e a expressão “versão cansada que sobrava”, conferida no manuscrito V1 que está neste repositório (`menina_elefante/referencia/A_Menina_Elefante_V1.txt`). Confirme com ela o título, se o livro já tem nome público e se ela autoriza a citação. Se o livro ainda não foi publicado, troque por “no livro que está escrevendo”.</w:t>
      </w:r>
    </w:p>
    <w:p>
      <w:pPr>
        <w:pStyle w:val="ListBullet"/>
      </w:pPr>
      <w:r>
        <w:rPr>
          <w:b/>
        </w:rPr>
        <w:t xml:space="preserve">“Por volta das onze da noite”.</w:t>
      </w:r>
      <w:r>
        <w:t xml:space="preserve"> O horário vem do seu relato no dossiê. Confirme.</w:t>
      </w:r>
    </w:p>
    <w:p>
      <w:pPr>
        <w:pStyle w:val="ListBullet"/>
      </w:pPr>
      <w:r>
        <w:rPr>
          <w:b/>
        </w:rPr>
        <w:t xml:space="preserve">A recusa de namoro na adolescência e a rejeição “na família”.</w:t>
      </w:r>
      <w:r>
        <w:t xml:space="preserve"> São informações íntimas que envolvem a Luciana e seus familiares. Confirme se quer publicá-las.</w:t>
      </w:r>
    </w:p>
    <w:p>
      <w:pPr>
        <w:pStyle w:val="ListBullet"/>
      </w:pPr>
      <w:r>
        <w:rPr>
          <w:b/>
        </w:rPr>
        <w:t xml:space="preserve">Divórcio.</w:t>
      </w:r>
      <w:r>
        <w:t xml:space="preserve"> A V2 diz “considerar”; o dossiê registra que vocês “chegaram a decidir”. A V3 mantém “considerar”. Escolha a versão verdadeira.</w:t>
      </w:r>
    </w:p>
    <w:p>
      <w:pPr>
        <w:pStyle w:val="ListBullet"/>
      </w:pPr>
      <w:r>
        <w:rPr>
          <w:b/>
        </w:rPr>
        <w:t xml:space="preserve">A praia.</w:t>
      </w:r>
      <w:r>
        <w:t xml:space="preserve"> A praia do clímax é a mesma que vocês desvalorizavam? A V3 não afirma isso (diz “do tipo que pouco tempo antes a gente diria que nem valia a pena”). Se for a mesma, diga no texto: o fechamento circular fica muito mais forte.</w:t>
      </w:r>
    </w:p>
    <w:p>
      <w:pPr>
        <w:pStyle w:val="ListBullet"/>
      </w:pPr>
      <w:r>
        <w:rPr>
          <w:b/>
        </w:rPr>
        <w:t xml:space="preserve">Quem disse “Acho que isso é contentamento”.</w:t>
      </w:r>
      <w:r>
        <w:t xml:space="preserve"> A V3 mantém “dissemos um ao outro”. Se foi um de vocês, nomear pode dar mais força.</w:t>
      </w:r>
    </w:p>
    <w:p>
      <w:pPr>
        <w:pStyle w:val="ListBullet"/>
      </w:pPr>
      <w:r>
        <w:rPr>
          <w:b/>
        </w:rPr>
        <w:t xml:space="preserve">Idade.</w:t>
      </w:r>
      <w:r>
        <w:t xml:space="preserve"> “Tenho 38 anos” precisa ser atualizada na data de publicação.</w:t>
      </w:r>
    </w:p>
    <w:p>
      <w:pPr>
        <w:pStyle w:val="ListBullet"/>
      </w:pPr>
      <w:r>
        <w:rPr>
          <w:b/>
        </w:rPr>
        <w:t xml:space="preserve">A empresa.</w:t>
      </w:r>
      <w:r>
        <w:t xml:space="preserve"> A Easy House não é nomeada nem no corpo nem no “Sobre o autor”, para evitar tom publicitário. Se quiser incluí-la, o lugar é o “Sobre o autor”, não o caso do cliente.</w:t>
      </w:r>
    </w:p>
    <w:p>
      <w:pPr>
        <w:widowControl/>
      </w:pPr>
      <w:r>
        <w:rPr>
          <w:b/>
        </w:rPr>
        <w:t xml:space="preserve">Frases interpretativas que escrevi a partir do seu texto e que só você pode confirmar</w:t>
      </w:r>
    </w:p>
    <w:p>
      <w:pPr>
        <w:pStyle w:val="ListBullet"/>
      </w:pPr>
      <w:r>
        <w:t xml:space="preserve">“Talvez houvesse nela também uma fome legítima de propósito…” (sobre o “É isso?”).</w:t>
      </w:r>
    </w:p>
    <w:p>
      <w:pPr>
        <w:pStyle w:val="ListBullet"/>
      </w:pPr>
      <w:r>
        <w:t xml:space="preserve">“Hoje me pergunto se aproveitei aquela casa e aquele carro tanto quanto os desejei.”</w:t>
      </w:r>
    </w:p>
    <w:p>
      <w:pPr>
        <w:pStyle w:val="ListBullet"/>
      </w:pPr>
      <w:r>
        <w:t xml:space="preserve">“Suspeito, porém, que em algum lugar aprendi que pedir mais era arriscado.”</w:t>
      </w:r>
    </w:p>
    <w:p>
      <w:pPr>
        <w:pStyle w:val="ListBullet"/>
      </w:pPr>
      <w:r>
        <w:t xml:space="preserve">“Era também o retrato de uma mulher sobrecarregada…” (uma leitura do lado da Luciana, que vale mostrar a ela).</w:t>
      </w:r>
    </w:p>
    <w:p>
      <w:pPr>
        <w:pStyle w:val="ListBullet"/>
      </w:pPr>
      <w:r>
        <w:t xml:space="preserve">“Okinawa me ensinou isso da pior maneira.”</w:t>
      </w:r>
    </w:p>
    <w:p>
      <w:pPr>
        <w:pStyle w:val="ListBullet"/>
      </w:pPr>
      <w:r>
        <w:t xml:space="preserve">“Isso não me tornou menos ambicioso. Tornou-me menos refém.”</w:t>
      </w:r>
    </w:p>
    <w:p>
      <w:pPr>
        <w:pStyle w:val="ListBullet"/>
      </w:pPr>
      <w:r>
        <w:t xml:space="preserve">“Eu ainda tenho essa régua. Ainda comparo. Ainda há dias em que sinto que estou atrasado.” É a frase de vulnerabilidade da conclusão. Se não for verdade, corte.</w:t>
      </w:r>
    </w:p>
    <w:p>
      <w:pPr>
        <w:pStyle w:val="ListBullet"/>
      </w:pPr>
      <w:r>
        <w:t xml:space="preserve">“na minha memória, ela faz parte da virada” (sobre a viagem ao Brasil).</w:t>
      </w:r>
    </w:p>
    <w:p>
      <w:pPr>
        <w:widowControl/>
      </w:pPr>
      <w:r>
        <w:rPr>
          <w:b/>
        </w:rPr>
        <w:t xml:space="preserve">Detalhes técnicos para conferir</w:t>
      </w:r>
    </w:p>
    <w:p>
      <w:pPr>
        <w:pStyle w:val="ListBullet"/>
      </w:pPr>
      <w:r>
        <w:rPr>
          <w:b/>
        </w:rPr>
        <w:t xml:space="preserve">Nacionalidade e financiamento.</w:t>
      </w:r>
      <w:r>
        <w:t xml:space="preserve"> A V3 diz que a nacionalidade “não aprova o financiamento de ninguém” sozinha e que “abriu uma porta que muitas famílias estrangeiras encontram fechada”. É uma afirmação genérica, sem nomes de bancos ou regras. Confirme que reflete o mercado que você conhece.</w:t>
      </w:r>
    </w:p>
    <w:p>
      <w:pPr>
        <w:pStyle w:val="ListBullet"/>
      </w:pPr>
      <w:r>
        <w:rPr>
          <w:b/>
        </w:rPr>
        <w:t xml:space="preserve">Seishain.</w:t>
      </w:r>
      <w:r>
        <w:t xml:space="preserve"> A V3 o descreve como “o funcionário contratado por tempo indeterminado”. Confira se a aposição está boa para o seu leitor.</w:t>
      </w:r>
    </w:p>
    <w:p>
      <w:pPr>
        <w:pStyle w:val="ListBullet"/>
      </w:pPr>
      <w:r>
        <w:rPr>
          <w:b/>
        </w:rPr>
        <w:t xml:space="preserve">Okinawa.</w:t>
      </w:r>
      <w:r>
        <w:t xml:space="preserve"> A V3 usa “estado de alerta” e “num feriado”, sem nomear a medida oficial nem a data. Se quiser precisar (estado de emergência ou medida prioritária), confirme o que vigorava.</w:t>
      </w:r>
    </w:p>
    <w:p>
      <w:pPr>
        <w:pStyle w:val="ListBullet"/>
      </w:pPr>
      <w:r>
        <w:rPr>
          <w:b/>
        </w:rPr>
        <w:t xml:space="preserve">O cliente.</w:t>
      </w:r>
      <w:r>
        <w:t xml:space="preserve"> A V3 segue o dossiê: “o crédito saiu abaixo do valor da casa que ele queria no início”. A V2 dizia “o valor do financiamento ficou um pouco abaixo do que inicialmente gostaríamos”. Escolha a forma exata. Não há dados que identifiquem o cliente.</w:t>
      </w:r>
    </w:p>
    <w:p>
      <w:pPr>
        <w:pStyle w:val="ListBullet"/>
      </w:pPr>
      <w:r>
        <w:rPr>
          <w:b/>
        </w:rPr>
        <w:t xml:space="preserve">Marton e colegas (2026).</w:t>
      </w:r>
      <w:r>
        <w:t xml:space="preserve"> Confirme como a “renda aspirada” foi medida no EU-SILC 2018. Se for a pergunta sobre a renda necessária para “fechar o mês”, a aspiração ali está mais perto de necessidade do que de ambição, e a frase do texto deve dizer isso. O periódico ainda não informa paginação final; a referência está com volume e número.</w:t>
      </w:r>
    </w:p>
    <w:p>
      <w:pPr>
        <w:widowControl/>
      </w:pPr>
      <w:r>
        <w:rPr>
          <w:b/>
        </w:rPr>
        <w:t xml:space="preserve">Edição</w:t>
      </w:r>
    </w:p>
    <w:p>
      <w:pPr>
        <w:pStyle w:val="ListBullet"/>
      </w:pPr>
      <w:r>
        <w:rPr>
          <w:b/>
        </w:rPr>
        <w:t xml:space="preserve">Tradução bíblica.</w:t>
      </w:r>
      <w:r>
        <w:t xml:space="preserve"> A única citação literal é “tudo posso naquele que me fortalece” (redação tradicional, ARA/ACF). Os demais versículos estão parafraseados. Escolha uma tradução e mantenha.</w:t>
      </w:r>
    </w:p>
    <w:p>
      <w:pPr>
        <w:pStyle w:val="ListBullet"/>
      </w:pPr>
      <w:r>
        <w:rPr>
          <w:b/>
        </w:rPr>
        <w:t xml:space="preserve">Edições brasileiras.</w:t>
      </w:r>
      <w:r>
        <w:t xml:space="preserve"> </w:t>
      </w:r>
      <w:r>
        <w:rPr>
          <w:i/>
        </w:rPr>
        <w:t xml:space="preserve">Rápido e devagar</w:t>
      </w:r>
      <w:r>
        <w:t xml:space="preserve"> (Objetiva, 2012) está indicado na referência; </w:t>
      </w:r>
      <w:r>
        <w:rPr>
          <w:i/>
        </w:rPr>
        <w:t xml:space="preserve">A lógica do cisne negro</w:t>
      </w:r>
      <w:r>
        <w:t xml:space="preserve"> e </w:t>
      </w:r>
      <w:r>
        <w:rPr>
          <w:i/>
        </w:rPr>
        <w:t xml:space="preserve">Antifrágil</w:t>
      </w:r>
      <w:r>
        <w:t xml:space="preserve"> aparecem no corpo com o título brasileiro, mas a referência é a original. O livro de Haidt aparece com o título em inglês. Defina se a publicação vai citar edições brasileiras, com tradutor, editora e ano conferidos no exemplar.</w:t>
      </w:r>
    </w:p>
    <w:p>
      <w:pPr>
        <w:pStyle w:val="ListBullet"/>
      </w:pPr>
      <w:r>
        <w:rPr>
          <w:b/>
        </w:rPr>
        <w:t xml:space="preserve">Versões por veículo.</w:t>
      </w:r>
      <w:r>
        <w:t xml:space="preserve"> Para LinkedIn ou Medium, retire o resumo e as palavras-chave, transforme a nota conceitual em nota de rodapé e troque “Referências” por “Para saber mais”. Para revista ou veículo cristão, mantenha tudo. Para o livro, o ensaio pode virar a espinha de capítulos: cada seção da nova estrutura corresponde a um capítulo possível.</w:t>
      </w:r>
    </w:p>
    <w:sectPr w:rsidR="00FC693F" w:rsidRPr="0006063C" w:rsidSect="00034616">
      <w:footerReference w:type="default" r:id="rId9"/>
      <w:pgSz w:w="11906" w:h="16838"/>
      <w:pgMar w:top="1304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7"/>
      </w:rPr>
      <w:t xml:space="preserve">Alan Yamanaka  •  Contentamento Dinâmico  •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40"/>
    </w:pPr>
    <w:rPr>
      <w:rFonts w:ascii="Aptos" w:hAnsi="Aptos" w:eastAsia="Aptos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0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0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0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 w:ascii="Aptos Display" w:hAnsi="Aptos Display" w:eastAsia="Aptos Display"/>
      <w:i/>
      <w:iCs/>
      <w:color w:val="55555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Line">
    <w:name w:val="AuthorLine"/>
    <w:pPr>
      <w:spacing w:after="40"/>
    </w:pPr>
    <w:rPr>
      <w:rFonts w:ascii="Aptos" w:hAnsi="Aptos" w:eastAsia="Aptos"/>
      <w:b/>
      <w:color w:val="555555"/>
      <w:sz w:val="21"/>
    </w:rPr>
  </w:style>
  <w:style w:type="paragraph" w:customStyle="1" w:styleId="MetaLine">
    <w:name w:val="MetaLine"/>
    <w:pPr>
      <w:spacing w:after="240"/>
    </w:pPr>
    <w:rPr>
      <w:rFonts w:ascii="Aptos" w:hAnsi="Aptos" w:eastAsia="Aptos"/>
      <w:color w:val="555555"/>
      <w:sz w:val="19"/>
    </w:rPr>
  </w:style>
  <w:style w:type="paragraph" w:customStyle="1" w:styleId="Abstract">
    <w:name w:val="Abstract"/>
    <w:pPr>
      <w:spacing w:line="276" w:lineRule="auto" w:after="140"/>
      <w:ind w:left="170" w:right="170"/>
    </w:pPr>
    <w:rPr>
      <w:rFonts w:ascii="Aptos" w:hAnsi="Aptos" w:eastAsia="Aptos"/>
      <w:color w:val="111111"/>
      <w:sz w:val="21"/>
    </w:rPr>
  </w:style>
  <w:style w:type="paragraph" w:customStyle="1" w:styleId="KeyQuote">
    <w:name w:val="KeyQuote"/>
    <w:pPr>
      <w:spacing w:line="269" w:lineRule="auto" w:before="160" w:after="200"/>
      <w:ind w:left="454" w:right="454"/>
    </w:pPr>
    <w:rPr>
      <w:rFonts w:ascii="Aptos" w:hAnsi="Aptos" w:eastAsia="Aptos"/>
      <w:b/>
      <w:color w:val="203A5F"/>
      <w:sz w:val="24"/>
    </w:rPr>
  </w:style>
  <w:style w:type="paragraph" w:customStyle="1" w:styleId="Reference">
    <w:name w:val="Reference"/>
    <w:pPr>
      <w:spacing w:line="252" w:lineRule="auto" w:after="100"/>
      <w:ind w:hanging="283" w:left="283"/>
    </w:pPr>
    <w:rPr>
      <w:rFonts w:ascii="Aptos" w:hAnsi="Aptos" w:eastAsia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Contentamento Dinâmico — Versão 2</dc:title>
  <dc:subject>Ensaio autoral sobre contentamento, ambição, prosperidade, psicologia e fé</dc:subject>
  <dc:creator>Alan Yamanaka</dc:creator>
  <cp:keywords>contentamento dinâmico, gratidão, aspiração, adaptação hedônica, propósito, prosperidade, fé, bem-estar, motivação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