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do mesmo jeito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voz alta, em japonês.</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demorou um segundo inteiro para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o único canto de Lima na casa.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olhou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Depois não conseguiu lembrar de onde o número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E a sua mulher, o que diz?</w:t>
      </w:r>
    </w:p>
    <w:p>
      <w:pPr>
        <w:ind w:firstLine="0"/>
      </w:pPr>
      <w:r>
        <w:t xml:space="preserve">— Que está com medo.</w:t>
      </w:r>
    </w:p>
    <w:p>
      <w:pPr>
        <w:ind w:firstLine="0"/>
      </w:pPr>
      <w:r>
        <w:t xml:space="preserve">— Disso eu não entendo. — Mori ajustou um dedo da luva. — Quem entendia de casamento nesta casa era a Setsuko. Eu entendo de nabo.</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IV</dc:title>
  <dc:subject/>
  <dc:creator>Alan Yamanaka</dc:creator>
  <cp:keywords/>
  <dc:description>Versão 2 do manuscrito</dc:description>
  <cp:lastModifiedBy/>
  <cp:revision>1</cp:revision>
  <dcterms:created xsi:type="dcterms:W3CDTF">2026-10-01T00:34:09Z</dcterms:created>
  <dcterms:modified xsi:type="dcterms:W3CDTF">2026-10-01T00:34:09Z</dcterms:modified>
  <cp:category/>
</cp:coreProperties>
</file>