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Transport Redesign Plan</w:t>
      </w:r>
    </w:p>
    <w:p>
      <w:pPr>
        <w:jc w:val="center"/>
      </w:pPr>
      <w:r>
        <w:rPr>
          <w:color w:val="505A6E"/>
          <w:sz w:val="22"/>
        </w:rPr>
        <w:t>Part 6 AI Document Summarizer Test File</w:t>
      </w:r>
    </w:p>
    <w:p>
      <w:pPr>
        <w:pStyle w:val="Heading1"/>
      </w:pPr>
      <w:r>
        <w:t>Background</w:t>
      </w:r>
    </w:p>
    <w:p>
      <w:pPr>
        <w:spacing w:after="140" w:line="312" w:lineRule="auto"/>
      </w:pPr>
      <w:r>
        <w:t>A regional city plans to redesign public transport from fiscal year 2027 in response to population decline and aging. Its population fell from about 180,000 in 2000 to about 140,000 in 2026. Bus use has dropped sharply in suburban areas, but buses remain essential for older residents and students who need to reach hospitals, schools, and shops.</w:t>
      </w:r>
    </w:p>
    <w:p>
      <w:pPr>
        <w:pStyle w:val="Heading1"/>
      </w:pPr>
      <w:r>
        <w:t>Current challenges</w:t>
      </w:r>
    </w:p>
    <w:p>
      <w:pPr>
        <w:spacing w:after="140" w:line="312" w:lineRule="auto"/>
      </w:pPr>
      <w:r>
        <w:t>Two private operators run a total of 38 routes. Driver shortages and higher fuel prices have increased annual operating costs by about 22 percent over five years. On low-demand routes, public spending can exceed 2,000 yen per passenger. The city provides about 400 million yen in annual subsidies and has concluded that the current network cannot be maintained unchanged.</w:t>
      </w:r>
    </w:p>
    <w:p>
      <w:pPr>
        <w:pStyle w:val="Heading1"/>
      </w:pPr>
      <w:r>
        <w:t>Redesign proposal</w:t>
      </w:r>
    </w:p>
    <w:p>
      <w:pPr>
        <w:spacing w:after="140" w:line="312" w:lineRule="auto"/>
      </w:pPr>
      <w:r>
        <w:t>High-demand trunk routes will run every 30 minutes. Residential areas outside the center will use small on-demand shared vehicles. Riders can book by telephone or smartphone and travel to the nearest station, hospital, or shopping center. In a pilot, average waiting time fell from 18 minutes to 11 minutes and operating cost per rider decreased by about 25 percent.</w:t>
      </w:r>
    </w:p>
    <w:p>
      <w:pPr>
        <w:pStyle w:val="Heading1"/>
      </w:pPr>
      <w:r>
        <w:t>Support for riders</w:t>
      </w:r>
    </w:p>
    <w:p>
      <w:pPr>
        <w:spacing w:after="140" w:line="312" w:lineRule="auto"/>
      </w:pPr>
      <w:r>
        <w:t>The city will establish a telephone booking desk and hold instruction sessions at community centers. Regular services that do not require reservations will run before hospital opening times and during the high-school morning commute. These measures address both the digital divide and concentrated demand.</w:t>
      </w:r>
    </w:p>
    <w:p>
      <w:pPr>
        <w:pStyle w:val="Heading1"/>
      </w:pPr>
      <w:r>
        <w:t>Proposed fares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7F7"/>
          </w:tcPr>
          <w:p>
            <w:r>
              <w:rPr>
                <w:b/>
              </w:rPr>
              <w:t>Service</w:t>
            </w:r>
          </w:p>
        </w:tc>
        <w:tc>
          <w:tcPr>
            <w:tcW w:type="dxa" w:w="3264"/>
            <w:vAlign w:val="center"/>
            <w:shd w:fill="D9E7F7"/>
          </w:tcPr>
          <w:p>
            <w:r>
              <w:rPr>
                <w:b/>
              </w:rPr>
              <w:t>Standard fare</w:t>
            </w:r>
          </w:p>
        </w:tc>
        <w:tc>
          <w:tcPr>
            <w:tcW w:type="dxa" w:w="3264"/>
            <w:vAlign w:val="center"/>
            <w:shd w:fill="D9E7F7"/>
          </w:tcPr>
          <w:p>
            <w:r>
              <w:rPr>
                <w:b/>
              </w:rPr>
              <w:t>Discount</w:t>
            </w:r>
          </w:p>
        </w:tc>
      </w:tr>
      <w:tr>
        <w:tc>
          <w:tcPr>
            <w:tcW w:type="dxa" w:w="3264"/>
            <w:vAlign w:val="center"/>
          </w:tcPr>
          <w:p>
            <w:r>
              <w:t>Trunk bus</w:t>
            </w:r>
          </w:p>
        </w:tc>
        <w:tc>
          <w:tcPr>
            <w:tcW w:type="dxa" w:w="3264"/>
            <w:vAlign w:val="center"/>
          </w:tcPr>
          <w:p>
            <w:r>
              <w:t>250 yen</w:t>
            </w:r>
          </w:p>
        </w:tc>
        <w:tc>
          <w:tcPr>
            <w:tcW w:type="dxa" w:w="3264"/>
            <w:vAlign w:val="center"/>
          </w:tcPr>
          <w:p>
            <w:r>
              <w:t>Half price for residents aged 75+ and people with disabilities</w:t>
            </w:r>
          </w:p>
        </w:tc>
      </w:tr>
      <w:tr>
        <w:tc>
          <w:tcPr>
            <w:tcW w:type="dxa" w:w="3264"/>
            <w:vAlign w:val="center"/>
          </w:tcPr>
          <w:p>
            <w:r>
              <w:t>On-demand vehicle</w:t>
            </w:r>
          </w:p>
        </w:tc>
        <w:tc>
          <w:tcPr>
            <w:tcW w:type="dxa" w:w="3264"/>
            <w:vAlign w:val="center"/>
          </w:tcPr>
          <w:p>
            <w:r>
              <w:t>400 yen</w:t>
            </w:r>
          </w:p>
        </w:tc>
        <w:tc>
          <w:tcPr>
            <w:tcW w:type="dxa" w:w="3264"/>
            <w:vAlign w:val="center"/>
          </w:tcPr>
          <w:p>
            <w:r>
              <w:t>Half price for residents aged 75+ and people with disabilities</w:t>
            </w:r>
          </w:p>
        </w:tc>
      </w:tr>
      <w:tr>
        <w:tc>
          <w:tcPr>
            <w:tcW w:type="dxa" w:w="3264"/>
            <w:vAlign w:val="center"/>
          </w:tcPr>
          <w:p>
            <w:r>
              <w:t>Elementary-age children</w:t>
            </w:r>
          </w:p>
        </w:tc>
        <w:tc>
          <w:tcPr>
            <w:tcW w:type="dxa" w:w="3264"/>
            <w:vAlign w:val="center"/>
          </w:tcPr>
          <w:p>
            <w:r>
              <w:t>0 yen</w:t>
            </w:r>
          </w:p>
        </w:tc>
        <w:tc>
          <w:tcPr>
            <w:tcW w:type="dxa" w:w="3264"/>
            <w:vAlign w:val="center"/>
          </w:tcPr>
          <w:p>
            <w:r>
              <w:t>Free</w:t>
            </w:r>
          </w:p>
        </w:tc>
      </w:tr>
    </w:tbl>
    <w:p>
      <w:pPr>
        <w:pStyle w:val="Heading1"/>
      </w:pPr>
      <w:r>
        <w:t>Schedule and evaluation</w:t>
      </w:r>
    </w:p>
    <w:p>
      <w:pPr>
        <w:pStyle w:val="ListNumber"/>
      </w:pPr>
      <w:r>
        <w:t>Begin in selected areas in April 2027.</w:t>
      </w:r>
    </w:p>
    <w:p>
      <w:pPr>
        <w:pStyle w:val="ListNumber"/>
      </w:pPr>
      <w:r>
        <w:t>Review ridership, average waiting time, cost per rider, rejected bookings, and satisfaction for six months.</w:t>
      </w:r>
    </w:p>
    <w:p>
      <w:pPr>
        <w:pStyle w:val="ListNumber"/>
      </w:pPr>
      <w:r>
        <w:t>Expand citywide in fiscal year 2028.</w:t>
      </w:r>
    </w:p>
    <w:p>
      <w:r>
        <w:t>If satisfaction is high but rejected bookings remain frequent, the city will consider adding vehicles and drivers. The redesign is framed as a way to preserve mobility with limited money and staff, not simply as a route-cutting exercise. The city will gather feedback through public meetings and trial operations before setting final service areas and timetables.</w:t>
      </w:r>
    </w:p>
    <w:p>
      <w:pPr>
        <w:pStyle w:val="Heading1"/>
      </w:pPr>
      <w:r>
        <w:t>Summary test checklist</w:t>
      </w:r>
    </w:p>
    <w:p>
      <w:pPr>
        <w:pStyle w:val="ListBullet"/>
      </w:pPr>
      <w:r>
        <w:t>Preserve population, route count, cost, waiting time, fare, and schedule figures.</w:t>
      </w:r>
    </w:p>
    <w:p>
      <w:pPr>
        <w:pStyle w:val="ListBullet"/>
      </w:pPr>
      <w:r>
        <w:t>Capture information contained in the fare table.</w:t>
      </w:r>
    </w:p>
    <w:p>
      <w:pPr>
        <w:pStyle w:val="ListBullet"/>
      </w:pPr>
      <w:r>
        <w:t>Retain both the policy purpose and residents' concerns.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Part 6 test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