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C8102E"/>
          <w:sz w:val="22"/>
          <w:szCs w:val="22"/>
        </w:rPr>
        <w:t xml:space="preserve">Charlie Replacement</w:t>
      </w:r>
    </w:p>
    <w:p>
      <w:pPr>
        <w:spacing w:after="80" w:before="0"/>
      </w:pPr>
      <w:r>
        <w:rPr>
          <w:rFonts w:ascii="Arial" w:cs="Arial" w:eastAsia="Arial" w:hAnsi="Arial"/>
          <w:b/>
          <w:bCs/>
          <w:color w:val="1F2A44"/>
          <w:sz w:val="36"/>
          <w:szCs w:val="36"/>
        </w:rPr>
        <w:t xml:space="preserve">Pattern-Based Conversation Architecture</w:t>
      </w:r>
    </w:p>
    <w:p>
      <w:pPr>
        <w:pBdr>
          <w:bottom w:val="single" w:color="C8102E" w:sz="12" w:space="4"/>
        </w:pBdr>
        <w:spacing w:after="240" w:before="0"/>
      </w:pPr>
      <w:r>
        <w:rPr>
          <w:rFonts w:ascii="Arial" w:cs="Arial" w:eastAsia="Arial" w:hAnsi="Arial"/>
          <w:i/>
          <w:iCs/>
          <w:color w:val="595959"/>
          <w:sz w:val="18"/>
          <w:szCs w:val="18"/>
        </w:rPr>
        <w:t xml:space="preserve">Discussion note for the requirements workshop  •  May 2026  •  Draft</w:t>
      </w:r>
    </w:p>
    <w:p>
      <w:pPr>
        <w:spacing w:after="50" w:before="30" w:line="260"/>
      </w:pPr>
      <w:r>
        <w:rPr>
          <w:b/>
          <w:bCs/>
          <w:sz w:val="20"/>
          <w:szCs w:val="20"/>
        </w:rPr>
        <w:t xml:space="preserve">Purpose. </w:t>
      </w:r>
      <w:r>
        <w:rPr>
          <w:sz w:val="20"/>
          <w:szCs w:val="20"/>
        </w:rPr>
        <w:t xml:space="preserve">This note specifies how the new student-facing assistant should structure conversations — not as a list of FAQ topics, but as a small set of reusable interaction patterns operating over the new two-tier architecture. It illustrates why this matters using the SSAF deferral case (≈7,648 fee-non-payment sanctions in Sem 1 alone) and shows which patterns are available at launch versus a follow-up release.</w:t>
      </w:r>
    </w:p>
    <w:p>
      <w:pPr>
        <w:spacing w:after="50" w:before="30" w:line="260"/>
      </w:pPr>
      <w:r>
        <w:rPr>
          <w:i/>
          <w:iCs/>
          <w:color w:val="595959"/>
          <w:sz w:val="20"/>
          <w:szCs w:val="20"/>
        </w:rPr>
        <w:t xml:space="preserve">Update from prior draft: </w:t>
      </w:r>
      <w:r>
        <w:rPr>
          <w:i/>
          <w:iCs/>
          <w:color w:val="595959"/>
          <w:sz w:val="20"/>
          <w:szCs w:val="20"/>
        </w:rPr>
        <w:t xml:space="preserve">this version aligns the pattern model with the agreed launch / follow-up split, the two-tier agent architecture, and the multi-tenancy and per-student budget patterns previously discussed.</w:t>
      </w:r>
    </w:p>
    <w:p>
      <w:pPr>
        <w:pStyle w:val="Heading2"/>
        <w:spacing w:after="60" w:before="120"/>
      </w:pPr>
      <w:r>
        <w:rPr>
          <w:rFonts w:ascii="Arial" w:cs="Arial" w:eastAsia="Arial" w:hAnsi="Arial"/>
          <w:b/>
          <w:bCs/>
          <w:color w:val="1F2A44"/>
          <w:sz w:val="24"/>
          <w:szCs w:val="24"/>
        </w:rPr>
        <w:t xml:space="preserve">1. Why pattern-first</w:t>
      </w:r>
    </w:p>
    <w:p>
      <w:pPr>
        <w:spacing w:after="50" w:before="30" w:line="260"/>
      </w:pPr>
      <w:r>
        <w:rPr>
          <w:sz w:val="20"/>
          <w:szCs w:val="20"/>
        </w:rPr>
        <w:t xml:space="preserve">Charlie today matches a student’s words to one of ~20 sample questions per FAQ and returns the matched article. That works when the student’s question matches the way the institution organises its content. It fails whenever the surface question does not reveal the underlying purpose.</w:t>
      </w:r>
    </w:p>
    <w:p>
      <w:pPr>
        <w:spacing w:after="50" w:before="30" w:line="260"/>
      </w:pPr>
      <w:r>
        <w:rPr>
          <w:sz w:val="20"/>
          <w:szCs w:val="20"/>
        </w:rPr>
        <w:t xml:space="preserve">The replacement architecture moves to generative answers and agent-callable action tools, which removes the FAQ taxonomy as the conversation skeleton. But it does not, by itself, solve the purpose-blindness problem. A student asking “what is SSAF?” might want to understand what it funds, pay it, defer it to HELP (a separate form most students don’t know about), recover from a sanction, or check whether they’re exempt. Each requires a different next-best-action. A purely generative answer to “what is SSAF” risks delivering five answers as one or, worse, the wrong one.</w:t>
      </w:r>
    </w:p>
    <w:p>
      <w:pPr>
        <w:spacing w:after="50" w:before="30" w:line="260"/>
      </w:pPr>
      <w:r>
        <w:rPr>
          <w:sz w:val="20"/>
          <w:szCs w:val="20"/>
        </w:rPr>
        <w:t xml:space="preserve">Pattern-first is a behavioural specification for the orchestrator: classify every conversation along three dimensions before content is delivered — what kind of conversation is it (pattern), what is it about (topic), and why is the student asking now (purpose). The bot’s first follow-up in most conversations should be a purpose probe, not content delivery. This unlocks better individual responses and — critically — makes population-level signal visible (e.g. “32% of SSAF queries were deferral-purpose, not definition-purpose”).</w:t>
      </w:r>
    </w:p>
    <w:p>
      <w:pPr>
        <w:pStyle w:val="Heading2"/>
        <w:spacing w:after="60" w:before="120"/>
      </w:pPr>
      <w:r>
        <w:rPr>
          <w:rFonts w:ascii="Arial" w:cs="Arial" w:eastAsia="Arial" w:hAnsi="Arial"/>
          <w:b/>
          <w:bCs/>
          <w:color w:val="1F2A44"/>
          <w:sz w:val="24"/>
          <w:szCs w:val="24"/>
        </w:rPr>
        <w:t xml:space="preserve">2. The conversation pattern taxonomy</w:t>
      </w:r>
    </w:p>
    <w:p>
      <w:pPr>
        <w:spacing w:after="50" w:before="30" w:line="260"/>
      </w:pPr>
      <w:r>
        <w:rPr>
          <w:sz w:val="20"/>
          <w:szCs w:val="20"/>
        </w:rPr>
        <w:t xml:space="preserve">Six patterns cover the conversation types the assistant needs to handle. The Release column indicates whether each pattern is available at launch or in a follow-up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3700"/>
        <w:gridCol w:w="1176"/>
        <w:gridCol w:w="1000"/>
      </w:tblGrid>
      <w:tr>
        <w:trPr>
          <w:tblHeader/>
        </w:trPr>
        <w:tc>
          <w:tcPr>
            <w:tcW w:type="dxa" w:w="145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Pattern</w:t>
            </w:r>
          </w:p>
        </w:tc>
        <w:tc>
          <w:tcPr>
            <w:tcW w:type="dxa" w:w="170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Trigger</w:t>
            </w:r>
          </w:p>
        </w:tc>
        <w:tc>
          <w:tcPr>
            <w:tcW w:type="dxa" w:w="370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What it is</w:t>
            </w:r>
          </w:p>
        </w:tc>
        <w:tc>
          <w:tcPr>
            <w:tcW w:type="dxa" w:w="1176"/>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Risk lens</w:t>
            </w:r>
          </w:p>
        </w:tc>
        <w:tc>
          <w:tcPr>
            <w:tcW w:type="dxa" w:w="100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Release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Inform-and-Act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Student asks</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Surface query masks an action the student needs to take next. Bot probes purpose before delivering content. Maps to generative answers plus a purpose-disambiguation step in the orchestrator.</w:t>
            </w:r>
          </w:p>
        </w:tc>
        <w:tc>
          <w:tcPr>
            <w:tcW w:type="dxa" w:w="117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Usually low</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Launch</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Status-Check</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Student asks</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“Where am I in process X” / “Did Y go through.” Reads from a system of record (SIS, RightNow incidents, payments).</w:t>
            </w:r>
          </w:p>
        </w:tc>
        <w:tc>
          <w:tcPr>
            <w:tcW w:type="dxa" w:w="117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Low–medium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Launch</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Decide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Student asks</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Branching consequential choice (defer SSAF, withdraw, transfer, reduce load). Multi-turn with confirmation. Maps directly to the action tools — the five flows being rebuilt as agent-callable tools.</w:t>
            </w:r>
          </w:p>
        </w:tc>
        <w:tc>
          <w:tcPr>
            <w:tcW w:type="dxa" w:w="117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Medium–high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Launch</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Express</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Student discloses</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Emotional, welfare, or distress signal. May or may not have an action component. A risk classifier governs response and routing (the distress detection capability already in scope).</w:t>
            </w:r>
          </w:p>
        </w:tc>
        <w:tc>
          <w:tcPr>
            <w:tcW w:type="dxa" w:w="117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Launch</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Nudge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System signal</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Bot opens conversation off a deadline or status trigger (e.g. SSAF defer-eligible, no form submitted, deadline approaching). Requires scheduler + outbound channel + per-student state.</w:t>
            </w:r>
          </w:p>
        </w:tc>
        <w:tc>
          <w:tcPr>
            <w:tcW w:type="dxa" w:w="117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Low</w:t>
            </w:r>
          </w:p>
        </w:tc>
        <w:tc>
          <w:tcPr>
            <w:tcW w:type="dxa" w:w="1000"/>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Later</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Check-in</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System signal</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Bot reaches out on at-risk pattern (low LMS engagement, missed orientation, sanction triggered). Same enablers as Nudge plus behavioural data.</w:t>
            </w:r>
          </w:p>
        </w:tc>
        <w:tc>
          <w:tcPr>
            <w:tcW w:type="dxa" w:w="117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Medium</w:t>
            </w:r>
          </w:p>
        </w:tc>
        <w:tc>
          <w:tcPr>
            <w:tcW w:type="dxa" w:w="1000"/>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Later</w:t>
            </w:r>
          </w:p>
        </w:tc>
      </w:tr>
    </w:tbl>
    <w:p>
      <w:pPr>
        <w:spacing w:after="0" w:before="100"/>
      </w:pPr>
      <w:r>
        <w:t xml:space="preserve"/>
      </w:r>
    </w:p>
    <w:p>
      <w:pPr>
        <w:spacing w:after="50" w:before="30" w:line="260"/>
      </w:pPr>
      <w:r>
        <w:rPr>
          <w:b/>
          <w:bCs/>
          <w:sz w:val="20"/>
          <w:szCs w:val="20"/>
        </w:rPr>
        <w:t xml:space="preserve">Cross-cutting classifiers (apply across all patterns): </w:t>
      </w:r>
      <w:r>
        <w:rPr>
          <w:sz w:val="20"/>
          <w:szCs w:val="20"/>
        </w:rPr>
        <w:t xml:space="preserve">Risk level (emotional / welfare / academic / admin); Identity context (international, online, regional, OUA, accessibility, first-in-family, mature — mapping to the persona overlays); Lifecycle stage (Accept / Welcome / Transition-in / Study).</w:t>
      </w:r>
    </w:p>
    <w:p>
      <w:pPr>
        <w:spacing w:after="50" w:before="30" w:line="260"/>
      </w:pPr>
      <w:r>
        <w:rPr>
          <w:b/>
          <w:bCs/>
          <w:sz w:val="20"/>
          <w:szCs w:val="20"/>
        </w:rPr>
        <w:t xml:space="preserve">Combinations are common. </w:t>
      </w:r>
      <w:r>
        <w:rPr>
          <w:sz w:val="20"/>
          <w:szCs w:val="20"/>
        </w:rPr>
        <w:t xml:space="preserve">A single conversation can move between patterns (Status-Check → Decide → Express) or carry a risk signal that overrides default routing (any pattern + high welfare risk → warm handoff to a human). The orchestrator must support multi-pattern conversations rather than locking the student into a single intent at first turn.</w:t>
      </w:r>
    </w:p>
    <w:p>
      <w:pPr>
        <w:pStyle w:val="Heading2"/>
        <w:spacing w:after="60" w:before="120"/>
      </w:pPr>
      <w:r>
        <w:rPr>
          <w:rFonts w:ascii="Arial" w:cs="Arial" w:eastAsia="Arial" w:hAnsi="Arial"/>
          <w:b/>
          <w:bCs/>
          <w:color w:val="1F2A44"/>
          <w:sz w:val="24"/>
          <w:szCs w:val="24"/>
        </w:rPr>
        <w:t xml:space="preserve">3. What’s available at launch, and what comes later</w:t>
      </w:r>
    </w:p>
    <w:p>
      <w:pPr>
        <w:spacing w:after="50" w:before="30" w:line="260"/>
      </w:pPr>
      <w:r>
        <w:rPr>
          <w:sz w:val="20"/>
          <w:szCs w:val="20"/>
        </w:rPr>
        <w:t xml:space="preserve">The pattern taxonomy is intentionally larger than what the launch release will deliver. All four reactive patterns are available at launch on the new architecture — they require no per-student persistence beyond the existing session-bounded cache. The two proactive patterns require enablers that come in a follow-up release — the personalised assistant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Capability</w:t>
            </w:r>
          </w:p>
        </w:tc>
        <w:tc>
          <w:tcPr>
            <w:tcW w:type="dxa" w:w="350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At launch</w:t>
            </w:r>
          </w:p>
        </w:tc>
        <w:tc>
          <w:tcPr>
            <w:tcW w:type="dxa" w:w="3126"/>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In a follow-up release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State scope</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Session-only (in-memory cache, with cross-session memory deferred)</w:t>
            </w:r>
          </w:p>
        </w:tc>
        <w:tc>
          <w:tcPr>
            <w:tcW w:type="dxa" w:w="3126"/>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Per-student persistent state across semesters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Conversation classification</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Pattern + topic + purpose, applied per session</w:t>
            </w:r>
          </w:p>
        </w:tc>
        <w:tc>
          <w:tcPr>
            <w:tcW w:type="dxa" w:w="3126"/>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Plus identity context, lifecycle stage, behavioural history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Reactive patterns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Inform-and-Act, Status-Check, Decide, Express — all in scope</w:t>
            </w:r>
          </w:p>
        </w:tc>
        <w:tc>
          <w:tcPr>
            <w:tcW w:type="dxa" w:w="3126"/>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Same patterns, richer because state is persistent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Proactive patterns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Not in scope</w:t>
            </w:r>
          </w:p>
        </w:tc>
        <w:tc>
          <w:tcPr>
            <w:tcW w:type="dxa" w:w="3126"/>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Nudge, Check-in — require scheduler + outbound channel + per-student budgets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Persistence substrate</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In-memory cache (session)</w:t>
            </w:r>
          </w:p>
        </w:tc>
        <w:tc>
          <w:tcPr>
            <w:tcW w:type="dxa" w:w="3126"/>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Postgres Flexible Server with row-level security (or Cosmos with partition keys), tiered to cold storage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Cost / safety controls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Global rate limiting at the gateway</w:t>
            </w:r>
          </w:p>
        </w:tc>
        <w:tc>
          <w:tcPr>
            <w:tcW w:type="dxa" w:w="3126"/>
            <w:tcBorders>
              <w:top w:val="single" w:color="BFBFBF" w:sz="4"/>
              <w:left w:val="single" w:color="BFBFBF" w:sz="4"/>
              <w:bottom w:val="single" w:color="BFBFBF" w:sz="4"/>
              <w:right w:val="single" w:color="BFBFBF" w:sz="4"/>
            </w:tcBorders>
            <w:shd w:fill="E5F1F4" w:val="clear"/>
            <w:tcMar>
              <w:top w:type="dxa" w:w="60"/>
              <w:left w:type="dxa" w:w="120"/>
              <w:bottom w:type="dxa" w:w="60"/>
              <w:right w:type="dxa" w:w="120"/>
            </w:tcMar>
          </w:tcPr>
          <w:p>
            <w:pPr>
              <w:spacing w:after="20" w:before="20" w:line="260"/>
            </w:pPr>
            <w:r>
              <w:rPr>
                <w:sz w:val="18"/>
                <w:szCs w:val="18"/>
              </w:rPr>
              <w:t xml:space="preserve">Per-student token budgets; distress signal triggers budget hold</w:t>
            </w:r>
          </w:p>
        </w:tc>
      </w:tr>
    </w:tbl>
    <w:p>
      <w:pPr>
        <w:spacing w:after="0" w:before="80"/>
      </w:pPr>
      <w:r>
        <w:t xml:space="preserve"/>
      </w:r>
    </w:p>
    <w:p>
      <w:pPr>
        <w:spacing w:after="50" w:before="30" w:line="260"/>
      </w:pPr>
      <w:r>
        <w:rPr>
          <w:b/>
          <w:bCs/>
          <w:sz w:val="20"/>
          <w:szCs w:val="20"/>
        </w:rPr>
        <w:t xml:space="preserve">Pattern classification is itself available at launch. </w:t>
      </w:r>
      <w:r>
        <w:rPr>
          <w:sz w:val="20"/>
          <w:szCs w:val="20"/>
        </w:rPr>
        <w:t xml:space="preserve">Tagging every conversation with (pattern, topic, purpose, risk, identity, lifecycle, outcome) is feasible from launch and produces the analytics signal Student Communications needs. The data structures persist; what the follow-up release adds is the ability to act on patterns observed across sessions, not just within them.</w:t>
      </w:r>
    </w:p>
    <w:p>
      <w:pPr>
        <w:pStyle w:val="Heading2"/>
        <w:spacing w:after="60" w:before="120"/>
      </w:pPr>
      <w:r>
        <w:rPr>
          <w:rFonts w:ascii="Arial" w:cs="Arial" w:eastAsia="Arial" w:hAnsi="Arial"/>
          <w:b/>
          <w:bCs/>
          <w:color w:val="1F2A44"/>
          <w:sz w:val="24"/>
          <w:szCs w:val="24"/>
        </w:rPr>
        <w:t xml:space="preserve">4. Worked example: SSAF</w:t>
      </w:r>
    </w:p>
    <w:p>
      <w:pPr>
        <w:spacing w:after="50" w:before="30" w:line="260"/>
      </w:pPr>
      <w:r>
        <w:rPr>
          <w:sz w:val="20"/>
          <w:szCs w:val="20"/>
        </w:rPr>
        <w:t xml:space="preserve">SSAF illustrates the gap between Charlie’s current behaviour and what students actually need. It also illustrates why some interventions are available at launch and others require the follow-up release.</w:t>
      </w:r>
    </w:p>
    <w:p>
      <w:pPr>
        <w:pStyle w:val="Heading3"/>
        <w:spacing w:after="30" w:before="80"/>
      </w:pPr>
      <w:r>
        <w:rPr>
          <w:rFonts w:ascii="Arial" w:cs="Arial" w:eastAsia="Arial" w:hAnsi="Arial"/>
          <w:b/>
          <w:bCs/>
          <w:color w:val="1F2A44"/>
          <w:sz w:val="21"/>
          <w:szCs w:val="21"/>
        </w:rPr>
        <w:t xml:space="preserve">4a. Reactive disambiguation — at launch</w:t>
      </w:r>
    </w:p>
    <w:p>
      <w:pPr>
        <w:spacing w:after="50" w:before="30" w:line="260"/>
      </w:pPr>
      <w:r>
        <w:rPr>
          <w:sz w:val="20"/>
          <w:szCs w:val="20"/>
        </w:rPr>
        <w:t xml:space="preserve">All five rows below ship at launch on the new architecture. The orchestrator classifies purpose first, then routes to the appropriate pattern. The fourth row — sanction-recovery — is the high-value reactive flow: a student who arrives saying “I can’t enrol” currently bounces between FAQs because Charlie can’t connect the symptom to the underlying SSAF non-payment cause.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Surface query</w:t>
            </w:r>
          </w:p>
        </w:tc>
        <w:tc>
          <w:tcPr>
            <w:tcW w:type="dxa" w:w="3200"/>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Likely purpose</w:t>
            </w:r>
          </w:p>
        </w:tc>
        <w:tc>
          <w:tcPr>
            <w:tcW w:type="dxa" w:w="3426"/>
            <w:tcBorders>
              <w:top w:val="single" w:color="BFBFBF" w:sz="4"/>
              <w:left w:val="single" w:color="BFBFBF" w:sz="4"/>
              <w:bottom w:val="single" w:color="BFBFBF" w:sz="4"/>
              <w:right w:val="single" w:color="BFBFBF" w:sz="4"/>
            </w:tcBorders>
            <w:shd w:fill="1F2A44" w:val="clear"/>
            <w:tcMar>
              <w:top w:type="dxa" w:w="60"/>
              <w:left w:type="dxa" w:w="120"/>
              <w:bottom w:type="dxa" w:w="60"/>
              <w:right w:type="dxa" w:w="120"/>
            </w:tcMar>
          </w:tcPr>
          <w:p>
            <w:pPr>
              <w:spacing w:after="20" w:before="20" w:line="260"/>
            </w:pPr>
            <w:r>
              <w:rPr>
                <w:b/>
                <w:bCs/>
                <w:color w:val="FFFFFF"/>
                <w:sz w:val="18"/>
                <w:szCs w:val="18"/>
              </w:rPr>
              <w:t xml:space="preserve">Pattern → next-best-action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“What is SSAF?”</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Understand what it funds</w:t>
            </w:r>
          </w:p>
        </w:tc>
        <w:tc>
          <w:tcPr>
            <w:tcW w:type="dxa" w:w="3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Inform-and-Act → brief explanation + offer of payment / deferral / exemption paths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“What is SSAF?”</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Need to pay it</w:t>
            </w:r>
          </w:p>
        </w:tc>
        <w:tc>
          <w:tcPr>
            <w:tcW w:type="dxa" w:w="3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Inform-and-Act → payment guide with deep link, confirm method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“What is SSAF?”</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Need to defer it to HELP</w:t>
            </w:r>
          </w:p>
        </w:tc>
        <w:tc>
          <w:tcPr>
            <w:tcW w:type="dxa" w:w="3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Decide → eligibility check → separate SSAF deferral form (the gap)</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“I can’t enrol” / “I can’t see my results”</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Sanction triggered by SSAF non-payment</w:t>
            </w:r>
          </w:p>
        </w:tc>
        <w:tc>
          <w:tcPr>
            <w:tcW w:type="dxa" w:w="3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Status-Check (identify sanction cause) → Inform-and-Act on remediation path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“Do I have to pay SSAF?”</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Eligibility / exemption question</w:t>
            </w:r>
          </w:p>
        </w:tc>
        <w:tc>
          <w:tcPr>
            <w:tcW w:type="dxa" w:w="3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20" w:line="260"/>
            </w:pPr>
            <w:r>
              <w:rPr>
                <w:sz w:val="18"/>
                <w:szCs w:val="18"/>
              </w:rPr>
              <w:t xml:space="preserve">Inform-and-Act → personalised eligibility based on enrolment status</w:t>
            </w:r>
          </w:p>
        </w:tc>
      </w:tr>
    </w:tbl>
    <w:p>
      <w:pPr>
        <w:spacing w:after="0" w:before="80"/>
      </w:pPr>
      <w:r>
        <w:t xml:space="preserve"/>
      </w:r>
    </w:p>
    <w:p>
      <w:pPr>
        <w:pStyle w:val="Heading3"/>
        <w:spacing w:after="30" w:before="80"/>
      </w:pPr>
      <w:r>
        <w:rPr>
          <w:rFonts w:ascii="Arial" w:cs="Arial" w:eastAsia="Arial" w:hAnsi="Arial"/>
          <w:b/>
          <w:bCs/>
          <w:color w:val="1F2A44"/>
          <w:sz w:val="21"/>
          <w:szCs w:val="21"/>
        </w:rPr>
        <w:t xml:space="preserve">4b. Proactive nudge — follow-up release (or include at launch)</w:t>
      </w:r>
    </w:p>
    <w:p>
      <w:pPr>
        <w:spacing w:after="50" w:before="30" w:line="260"/>
      </w:pPr>
      <w:r>
        <w:rPr>
          <w:sz w:val="20"/>
          <w:szCs w:val="20"/>
        </w:rPr>
        <w:t xml:space="preserve">The highest-impact intervention is not in the conversation a student starts — it is in the conversation the assistant starts. A student who is eligible to defer SSAF, has not submitted the (separate) deferral form, and is approaching the deadline is a known, queryable population. The assistant should reach out before the sanction lands.</w:t>
      </w:r>
    </w:p>
    <w:p>
      <w:pPr>
        <w:spacing w:after="50" w:before="30" w:line="260"/>
      </w:pPr>
      <w:r>
        <w:rPr>
          <w:sz w:val="20"/>
          <w:szCs w:val="20"/>
        </w:rPr>
        <w:t xml:space="preserve">This requires the follow-up enablers: a scheduler to evaluate the eligibility query against the SIS daily; an outbound channel adapter (LMS announcement / email / push, with SMS reserved for critical); per-student state to track that the student has already been nudged; and per-student token budgets so the proactive surface area cannot blow out costs.</w:t>
      </w:r>
    </w:p>
    <w:p>
      <w:pPr>
        <w:pStyle w:val="ListParagraph"/>
        <w:numPr>
          <w:ilvl w:val="0"/>
          <w:numId w:val="2"/>
        </w:numPr>
        <w:spacing w:after="20" w:before="20" w:line="260"/>
      </w:pPr>
      <w:r>
        <w:rPr>
          <w:b/>
          <w:bCs/>
          <w:sz w:val="20"/>
          <w:szCs w:val="20"/>
        </w:rPr>
        <w:t xml:space="preserve">Decision the workshop should make: </w:t>
      </w:r>
      <w:r>
        <w:rPr>
          <w:sz w:val="20"/>
          <w:szCs w:val="20"/>
        </w:rPr>
        <w:t xml:space="preserve">either (a) defer the proactive nudge to the follow-up release and ship sanction-recovery at launch, or (b) include the SSAF nudge in launch scope by funding just enough scheduler, outbound channel, and per-student state to enable it. Option (b) produces direct sanction-reduction value at launch but adds enablers that have downstream architectural implications.</w:t>
      </w:r>
    </w:p>
    <w:p>
      <w:pPr>
        <w:pStyle w:val="Heading2"/>
        <w:spacing w:after="60" w:before="120"/>
      </w:pPr>
      <w:r>
        <w:rPr>
          <w:rFonts w:ascii="Arial" w:cs="Arial" w:eastAsia="Arial" w:hAnsi="Arial"/>
          <w:b/>
          <w:bCs/>
          <w:color w:val="1F2A44"/>
          <w:sz w:val="24"/>
          <w:szCs w:val="24"/>
        </w:rPr>
        <w:t xml:space="preserve">5. Implications</w:t>
      </w:r>
    </w:p>
    <w:p>
      <w:pPr>
        <w:pStyle w:val="Heading3"/>
        <w:spacing w:after="30" w:before="80"/>
      </w:pPr>
      <w:r>
        <w:rPr>
          <w:rFonts w:ascii="Arial" w:cs="Arial" w:eastAsia="Arial" w:hAnsi="Arial"/>
          <w:b/>
          <w:bCs/>
          <w:color w:val="1F2A44"/>
          <w:sz w:val="21"/>
          <w:szCs w:val="21"/>
        </w:rPr>
        <w:t xml:space="preserve">5a. Architecture</w:t>
      </w:r>
    </w:p>
    <w:p>
      <w:pPr>
        <w:pStyle w:val="ListParagraph"/>
        <w:numPr>
          <w:ilvl w:val="0"/>
          <w:numId w:val="2"/>
        </w:numPr>
        <w:spacing w:after="20" w:before="20" w:line="260"/>
      </w:pPr>
      <w:r>
        <w:rPr>
          <w:sz w:val="20"/>
          <w:szCs w:val="20"/>
        </w:rPr>
        <w:t xml:space="preserve">Pattern + purpose classification runs in the orchestrator (Layer 1) before tool selection. Cleanest extensibility seam is lifecycle hooks (pre_llm_call, post_llm_call, on_session_start, on_session_end) where the classifier, risk model, and audit logger plug in without forking the orchestration loop.</w:t>
      </w:r>
    </w:p>
    <w:p>
      <w:pPr>
        <w:pStyle w:val="ListParagraph"/>
        <w:numPr>
          <w:ilvl w:val="0"/>
          <w:numId w:val="2"/>
        </w:numPr>
        <w:spacing w:after="20" w:before="20" w:line="260"/>
      </w:pPr>
      <w:r>
        <w:rPr>
          <w:sz w:val="20"/>
          <w:szCs w:val="20"/>
        </w:rPr>
        <w:t xml:space="preserve">Reactive patterns map to existing architecture layers: Inform-and-Act → generative answers (Azure AI Search + GPT-4o synthesis); Status-Check → generative answers + read-side action tools; Decide → the action tools (the five flows being rebuilt); Express → risk classifier + escalate-to-agent tool.</w:t>
      </w:r>
    </w:p>
    <w:p>
      <w:pPr>
        <w:pStyle w:val="ListParagraph"/>
        <w:numPr>
          <w:ilvl w:val="0"/>
          <w:numId w:val="2"/>
        </w:numPr>
        <w:spacing w:after="20" w:before="20" w:line="260"/>
      </w:pPr>
      <w:r>
        <w:rPr>
          <w:sz w:val="20"/>
          <w:szCs w:val="20"/>
        </w:rPr>
        <w:t xml:space="preserve">Proactive patterns add a new layer or extend the orchestrator: scheduled signal evaluation, outbound channel adapters, conversational form-fill (replaces “link to a form” as the default for guided processes like SSAF deferral).</w:t>
      </w:r>
    </w:p>
    <w:p>
      <w:pPr>
        <w:pStyle w:val="ListParagraph"/>
        <w:numPr>
          <w:ilvl w:val="0"/>
          <w:numId w:val="2"/>
        </w:numPr>
        <w:spacing w:after="20" w:before="20" w:line="260"/>
      </w:pPr>
      <w:r>
        <w:rPr>
          <w:sz w:val="20"/>
          <w:szCs w:val="20"/>
        </w:rPr>
        <w:t xml:space="preserve">Multi-tenancy implications of pattern-tagged logging: every conversation is scoped to a student_id pinned at the auth boundary (Entra → gateway → orchestration), with row-level security or partition-key enforcement at the data tier and a separate ingestion identity for cross-student writes. This pattern is portable to the assistant regardless of whether the proactive patterns ship at launch or in the follow-up release.</w:t>
      </w:r>
    </w:p>
    <w:p>
      <w:pPr>
        <w:pStyle w:val="ListParagraph"/>
        <w:numPr>
          <w:ilvl w:val="0"/>
          <w:numId w:val="2"/>
        </w:numPr>
        <w:spacing w:after="20" w:before="20" w:line="260"/>
      </w:pPr>
      <w:r>
        <w:rPr>
          <w:sz w:val="20"/>
          <w:szCs w:val="20"/>
        </w:rPr>
        <w:t xml:space="preserve">Per-student token budgets serve double duty: cost ceiling against runaway use and safety lever (a high-risk Express signal should trigger a budget hold rather than allow more nudges to fire at someone already struggling).</w:t>
      </w:r>
    </w:p>
    <w:p>
      <w:pPr>
        <w:pStyle w:val="Heading3"/>
        <w:spacing w:after="30" w:before="80"/>
      </w:pPr>
      <w:r>
        <w:rPr>
          <w:rFonts w:ascii="Arial" w:cs="Arial" w:eastAsia="Arial" w:hAnsi="Arial"/>
          <w:b/>
          <w:bCs/>
          <w:color w:val="1F2A44"/>
          <w:sz w:val="21"/>
          <w:szCs w:val="21"/>
        </w:rPr>
        <w:t xml:space="preserve">5b. Requirements (candidate additions for the next requirements update)</w:t>
      </w:r>
    </w:p>
    <w:p>
      <w:pPr>
        <w:pStyle w:val="ListParagraph"/>
        <w:numPr>
          <w:ilvl w:val="0"/>
          <w:numId w:val="2"/>
        </w:numPr>
        <w:spacing w:after="20" w:before="20" w:line="260"/>
      </w:pPr>
      <w:r>
        <w:rPr>
          <w:sz w:val="20"/>
          <w:szCs w:val="20"/>
        </w:rPr>
        <w:t xml:space="preserve">Purpose disambiguation as a first-class step: the orchestrator must probe purpose before delivering content for any topic with more than one common purpose. Must Have.</w:t>
      </w:r>
    </w:p>
    <w:p>
      <w:pPr>
        <w:pStyle w:val="ListParagraph"/>
        <w:numPr>
          <w:ilvl w:val="0"/>
          <w:numId w:val="2"/>
        </w:numPr>
        <w:spacing w:after="20" w:before="20" w:line="260"/>
      </w:pPr>
      <w:r>
        <w:rPr>
          <w:sz w:val="20"/>
          <w:szCs w:val="20"/>
        </w:rPr>
        <w:t xml:space="preserve">Pattern-tagged conversation logging: every conversation tagged with (pattern, topic, purpose, risk, identity, lifecycle, outcome). Multi-tenant safe by construction (request-scoped student_id, row-level security enforced). Must Have.</w:t>
      </w:r>
    </w:p>
    <w:p>
      <w:pPr>
        <w:pStyle w:val="ListParagraph"/>
        <w:numPr>
          <w:ilvl w:val="0"/>
          <w:numId w:val="2"/>
        </w:numPr>
        <w:spacing w:after="20" w:before="20" w:line="260"/>
      </w:pPr>
      <w:r>
        <w:rPr>
          <w:sz w:val="20"/>
          <w:szCs w:val="20"/>
        </w:rPr>
        <w:t xml:space="preserve">Sanction-recovery flow: when a student presents with a sanction symptom (“can’t enrol”, “can’t see results”), Status-Check identifies cause and routes to remediation. Must Have, at launch.</w:t>
      </w:r>
    </w:p>
    <w:p>
      <w:pPr>
        <w:pStyle w:val="ListParagraph"/>
        <w:numPr>
          <w:ilvl w:val="0"/>
          <w:numId w:val="2"/>
        </w:numPr>
        <w:spacing w:after="20" w:before="20" w:line="260"/>
      </w:pPr>
      <w:r>
        <w:rPr>
          <w:sz w:val="20"/>
          <w:szCs w:val="20"/>
        </w:rPr>
        <w:t xml:space="preserve">Proactive nudge framework: Should Have, follow-up release — with optional SSAF nudge included in launch scope if the workshop decides the impact warrants the early enabler investment.</w:t>
      </w:r>
    </w:p>
    <w:p>
      <w:pPr>
        <w:pStyle w:val="ListParagraph"/>
        <w:numPr>
          <w:ilvl w:val="0"/>
          <w:numId w:val="2"/>
        </w:numPr>
        <w:spacing w:after="20" w:before="20" w:line="260"/>
      </w:pPr>
      <w:r>
        <w:rPr>
          <w:sz w:val="20"/>
          <w:szCs w:val="20"/>
        </w:rPr>
        <w:t xml:space="preserve">Risk-linked budget control: where distress signals are detected, per-student outbound budget is held until human review. Should Have, follow-up release.</w:t>
      </w:r>
    </w:p>
    <w:p>
      <w:pPr>
        <w:pStyle w:val="Heading3"/>
        <w:spacing w:after="30" w:before="80"/>
      </w:pPr>
      <w:r>
        <w:rPr>
          <w:rFonts w:ascii="Arial" w:cs="Arial" w:eastAsia="Arial" w:hAnsi="Arial"/>
          <w:b/>
          <w:bCs/>
          <w:color w:val="1F2A44"/>
          <w:sz w:val="21"/>
          <w:szCs w:val="21"/>
        </w:rPr>
        <w:t xml:space="preserve">5c. Analytics</w:t>
      </w:r>
    </w:p>
    <w:p>
      <w:pPr>
        <w:spacing w:after="50" w:before="30" w:line="260"/>
      </w:pPr>
      <w:r>
        <w:rPr>
          <w:sz w:val="20"/>
          <w:szCs w:val="20"/>
        </w:rPr>
        <w:t xml:space="preserve">The pattern taxonomy gives Student Communications the diagnostic layer that is currently missing. Aggregating purpose at the population level reveals which topics are mis-served by current content (e.g. “SSAF” content assumes a definition-purpose audience but the queries are about deferral). This is the lever that lets upstream comms be fixed, not just the bot patching over the gap. It is a different shape of data than ThoughtSpot reports today — worth raising as a distinct analytics requirement, separate from the open ThoughtSpot replacement question.</w:t>
      </w:r>
    </w:p>
    <w:p>
      <w:pPr>
        <w:pStyle w:val="Heading2"/>
        <w:spacing w:after="60" w:before="120"/>
      </w:pPr>
      <w:r>
        <w:rPr>
          <w:rFonts w:ascii="Arial" w:cs="Arial" w:eastAsia="Arial" w:hAnsi="Arial"/>
          <w:b/>
          <w:bCs/>
          <w:color w:val="1F2A44"/>
          <w:sz w:val="24"/>
          <w:szCs w:val="24"/>
        </w:rPr>
        <w:t xml:space="preserve">6. Tying patterns to the “PA” vision</w:t>
      </w:r>
    </w:p>
    <w:p>
      <w:pPr>
        <w:spacing w:after="50" w:before="30" w:line="260"/>
      </w:pPr>
      <w:r>
        <w:rPr>
          <w:sz w:val="20"/>
          <w:szCs w:val="20"/>
        </w:rPr>
        <w:t xml:space="preserve">Stakeholders have described the new assistant as a “personalised PA for each student.” The pattern taxonomy is the concrete specification of what that means. “PA-like” is not a feature — it is six patterns operating over months of accreted state, with risk-aware behaviour, against the same student. The launch release ships the four reactive patterns and the classification scheme; the follow-up release turns those patterns from session-bounded to relationship-bounded by adding the persistent state, scheduler, and outbound channels that let the assistant proactively act on signals it has been observing all along. “Does the personalised assistant ship later?” becomes “Which proactive patterns, on which trigger sources, with what budget controls?” — a tractable scope question against a single architecture.</w:t>
      </w:r>
    </w:p>
    <w:p>
      <w:pPr>
        <w:pStyle w:val="Heading2"/>
        <w:spacing w:after="60" w:before="120"/>
      </w:pPr>
      <w:r>
        <w:rPr>
          <w:rFonts w:ascii="Arial" w:cs="Arial" w:eastAsia="Arial" w:hAnsi="Arial"/>
          <w:b/>
          <w:bCs/>
          <w:color w:val="1F2A44"/>
          <w:sz w:val="24"/>
          <w:szCs w:val="24"/>
        </w:rPr>
        <w:t xml:space="preserve">7. Decisions sought at the workshop</w:t>
      </w:r>
    </w:p>
    <w:p>
      <w:pPr>
        <w:pStyle w:val="ListParagraph"/>
        <w:numPr>
          <w:ilvl w:val="0"/>
          <w:numId w:val="2"/>
        </w:numPr>
        <w:spacing w:after="20" w:before="20" w:line="260"/>
      </w:pPr>
      <w:r>
        <w:rPr>
          <w:sz w:val="20"/>
          <w:szCs w:val="20"/>
        </w:rPr>
        <w:t xml:space="preserve">Endorse pattern-first orchestration as the conversation specification on top of the new architecture (does not change the architecture; constrains how the orchestrator behaves).</w:t>
      </w:r>
    </w:p>
    <w:p>
      <w:pPr>
        <w:pStyle w:val="ListParagraph"/>
        <w:numPr>
          <w:ilvl w:val="0"/>
          <w:numId w:val="2"/>
        </w:numPr>
        <w:spacing w:after="20" w:before="20" w:line="260"/>
      </w:pPr>
      <w:r>
        <w:rPr>
          <w:sz w:val="20"/>
          <w:szCs w:val="20"/>
        </w:rPr>
        <w:t xml:space="preserve">Confirm purpose disambiguation as Must Have.</w:t>
      </w:r>
    </w:p>
    <w:p>
      <w:pPr>
        <w:pStyle w:val="ListParagraph"/>
        <w:numPr>
          <w:ilvl w:val="0"/>
          <w:numId w:val="2"/>
        </w:numPr>
        <w:spacing w:after="20" w:before="20" w:line="260"/>
      </w:pPr>
      <w:r>
        <w:rPr>
          <w:sz w:val="20"/>
          <w:szCs w:val="20"/>
        </w:rPr>
        <w:t xml:space="preserve">Confirm sanction-recovery (reactive SSAF flow) as Must Have at launch.</w:t>
      </w:r>
    </w:p>
    <w:p>
      <w:pPr>
        <w:pStyle w:val="ListParagraph"/>
        <w:numPr>
          <w:ilvl w:val="0"/>
          <w:numId w:val="2"/>
        </w:numPr>
        <w:spacing w:after="20" w:before="20" w:line="260"/>
      </w:pPr>
      <w:r>
        <w:rPr>
          <w:sz w:val="20"/>
          <w:szCs w:val="20"/>
        </w:rPr>
        <w:t xml:space="preserve">Decide where to draw the launch / follow-up line on proactive capability. SSAF is the clearest candidate for inclusion at launch given sanction volume; including any proactive nudges at launch has downstream implications worth scoping explicitly.</w:t>
      </w:r>
    </w:p>
    <w:p>
      <w:pPr>
        <w:pStyle w:val="ListParagraph"/>
        <w:numPr>
          <w:ilvl w:val="0"/>
          <w:numId w:val="2"/>
        </w:numPr>
        <w:spacing w:after="20" w:before="20" w:line="260"/>
      </w:pPr>
      <w:r>
        <w:rPr>
          <w:sz w:val="20"/>
          <w:szCs w:val="20"/>
        </w:rPr>
        <w:t xml:space="preserve">Confirm pattern-tagged conversation logging as the analytics requirement, with multi-tenancy enforcement (student_id propagation, row-level security) as a hard non-functional requirement.</w:t>
      </w:r>
    </w:p>
    <w:p>
      <w:pPr>
        <w:pStyle w:val="ListParagraph"/>
        <w:numPr>
          <w:ilvl w:val="0"/>
          <w:numId w:val="2"/>
        </w:numPr>
        <w:spacing w:after="20" w:before="20" w:line="260"/>
      </w:pPr>
      <w:r>
        <w:rPr>
          <w:sz w:val="20"/>
          <w:szCs w:val="20"/>
        </w:rPr>
        <w:t xml:space="preserve">Endorse the pattern → release mapping as the concrete specification of what “personalised assistant” means — i.e. what the follow-up release is actually scoped to deliver.</w:t>
      </w:r>
    </w:p>
    <w:p>
      <w:pPr>
        <w:pBdr>
          <w:top w:val="single" w:color="BFBFBF" w:sz="6" w:space="6"/>
        </w:pBdr>
        <w:spacing w:after="0" w:before="100"/>
      </w:pPr>
      <w:r>
        <w:rPr>
          <w:rFonts w:ascii="Arial" w:cs="Arial" w:eastAsia="Arial" w:hAnsi="Arial"/>
          <w:i/>
          <w:iCs/>
          <w:color w:val="595959"/>
          <w:sz w:val="16"/>
          <w:szCs w:val="16"/>
        </w:rPr>
        <w:t xml:space="preserve">Source basis: Komosion Journeys output (17 Oct 2025); current requirements and architecture work for the Charlie replacement programme; prior architectural discussion on personalised-assistant enablers and multi-tenancy patterns.</w:t>
      </w:r>
    </w:p>
    <w:sectPr>
      <w:pgSz w:w="11906" w:h="16838" w:orient="portrait"/>
      <w:pgMar w:top="1080" w:right="1440" w:bottom="5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A44"/>
      <w:sz w:val="36"/>
      <w:szCs w:val="36"/>
    </w:rPr>
  </w:style>
  <w:style w:type="paragraph" w:styleId="Heading2">
    <w:name w:val="Heading 2"/>
    <w:basedOn w:val="Normal"/>
    <w:next w:val="Normal"/>
    <w:qFormat/>
    <w:pPr>
      <w:spacing w:after="80" w:before="160"/>
      <w:outlineLvl w:val="1"/>
    </w:pPr>
    <w:rPr>
      <w:rFonts w:ascii="Arial" w:cs="Arial" w:eastAsia="Arial" w:hAnsi="Arial"/>
      <w:b/>
      <w:bCs/>
      <w:color w:val="1F2A44"/>
      <w:sz w:val="24"/>
      <w:szCs w:val="24"/>
    </w:rPr>
  </w:style>
  <w:style w:type="paragraph" w:styleId="Heading3">
    <w:name w:val="Heading 3"/>
    <w:basedOn w:val="Normal"/>
    <w:next w:val="Normal"/>
    <w:qFormat/>
    <w:pPr>
      <w:spacing w:after="40" w:before="100"/>
      <w:outlineLvl w:val="2"/>
    </w:pPr>
    <w:rPr>
      <w:rFonts w:ascii="Arial" w:cs="Arial" w:eastAsia="Arial" w:hAnsi="Arial"/>
      <w:b/>
      <w:bCs/>
      <w:color w:val="1F2A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Charlie Replacement — Pattern-Based Conversation Architecture</dc:title>
  <dc:creator>La Trobe University</dc:creator>
  <cp:lastModifiedBy>Un-named</cp:lastModifiedBy>
  <cp:revision>1</cp:revision>
  <dcterms:created xsi:type="dcterms:W3CDTF">2026-05-08T03:58:14.851Z</dcterms:created>
  <dcterms:modified xsi:type="dcterms:W3CDTF">2026-05-08T03:58:14.851Z</dcterms:modified>
</cp:coreProperties>
</file>

<file path=docProps/custom.xml><?xml version="1.0" encoding="utf-8"?>
<Properties xmlns="http://schemas.openxmlformats.org/officeDocument/2006/custom-properties" xmlns:vt="http://schemas.openxmlformats.org/officeDocument/2006/docPropsVTypes"/>
</file>