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C8102E"/>
          <w:sz w:val="22"/>
          <w:szCs w:val="22"/>
        </w:rPr>
        <w:t xml:space="preserve">Charlie Replacement</w:t>
      </w:r>
    </w:p>
    <w:p>
      <w:pPr>
        <w:spacing w:after="80" w:before="0"/>
      </w:pPr>
      <w:r>
        <w:rPr>
          <w:rFonts w:ascii="Arial" w:cs="Arial" w:eastAsia="Arial" w:hAnsi="Arial"/>
          <w:b/>
          <w:bCs/>
          <w:color w:val="1F2A44"/>
          <w:sz w:val="36"/>
          <w:szCs w:val="36"/>
        </w:rPr>
        <w:t xml:space="preserve">How the new student assistant will work</w:t>
      </w:r>
    </w:p>
    <w:p>
      <w:pPr>
        <w:pBdr>
          <w:bottom w:val="single" w:color="C8102E" w:sz="12" w:space="4"/>
        </w:pBdr>
        <w:spacing w:after="240" w:before="0"/>
      </w:pPr>
      <w:r>
        <w:rPr>
          <w:rFonts w:ascii="Arial" w:cs="Arial" w:eastAsia="Arial" w:hAnsi="Arial"/>
          <w:i/>
          <w:iCs/>
          <w:color w:val="595959"/>
          <w:sz w:val="18"/>
          <w:szCs w:val="18"/>
        </w:rPr>
        <w:t xml:space="preserve">Workshop briefing for Student Experience and leadership  •  May 2026</w:t>
      </w:r>
    </w:p>
    <w:p>
      <w:pPr>
        <w:spacing w:after="100" w:before="60" w:line="290"/>
      </w:pPr>
      <w:r>
        <w:rPr>
          <w:b/>
          <w:bCs/>
          <w:sz w:val="22"/>
          <w:szCs w:val="22"/>
        </w:rPr>
        <w:t xml:space="preserve">What this is. </w:t>
      </w:r>
      <w:r>
        <w:rPr>
          <w:sz w:val="22"/>
          <w:szCs w:val="22"/>
        </w:rPr>
        <w:t xml:space="preserve">A plain-English description of how the assistant we’re building to replace Charlie will work — enough detail to validate that the approach matches what students actually need, and to make a few scope decisions about what ships when. The technical architecture sits behind this; this note is about behaviour and student experience.</w:t>
      </w:r>
    </w:p>
    <w:p>
      <w:pPr>
        <w:pStyle w:val="Heading1"/>
        <w:spacing w:after="100" w:before="280"/>
      </w:pPr>
      <w:r>
        <w:rPr>
          <w:rFonts w:ascii="Arial" w:cs="Arial" w:eastAsia="Arial" w:hAnsi="Arial"/>
          <w:b/>
          <w:bCs/>
          <w:color w:val="1F2A44"/>
          <w:sz w:val="32"/>
          <w:szCs w:val="32"/>
        </w:rPr>
        <w:t xml:space="preserve">The problem we’re solving</w:t>
      </w:r>
    </w:p>
    <w:p>
      <w:pPr>
        <w:spacing w:after="100" w:before="60" w:line="290"/>
      </w:pPr>
      <w:r>
        <w:rPr>
          <w:sz w:val="22"/>
          <w:szCs w:val="22"/>
        </w:rPr>
        <w:t xml:space="preserve">Charlie matches the words students type to a list of pre-written articles. That works when the words match the way our content is organised. It fails when a student’s actual need is hidden behind the words — when the surface question and the real purpose don’t line up.</w:t>
      </w:r>
    </w:p>
    <w:p>
      <w:pPr>
        <w:spacing w:after="100" w:before="60" w:line="290"/>
      </w:pPr>
      <w:r>
        <w:rPr>
          <w:sz w:val="22"/>
          <w:szCs w:val="22"/>
        </w:rPr>
        <w:t xml:space="preserve">This pattern is wider than any one topic. A student asking “what is SSAF?” may be trying to defer it. A student asking about the census date may be questioning whether they’re on the right course. A student asking how to transfer may be wondering whether to drop out altogether. The recurring shape is the same: surface questions hide different real needs, and Charlie can only respond to surface questions.</w:t>
      </w:r>
    </w:p>
    <w:p>
      <w:pPr>
        <w:spacing w:after="100" w:before="60" w:line="290"/>
      </w:pPr>
      <w:r>
        <w:rPr>
          <w:sz w:val="22"/>
          <w:szCs w:val="22"/>
        </w:rPr>
        <w:t xml:space="preserve">The new assistant is designed to address this directly. Rather than matching words to articles, it asks what a student actually needs before it answers — and it does this by being structured around how students engage, not what topics they raise.</w:t>
      </w:r>
    </w:p>
    <w:p>
      <w:pPr>
        <w:pStyle w:val="Heading1"/>
        <w:spacing w:after="100" w:before="280"/>
      </w:pPr>
      <w:r>
        <w:rPr>
          <w:rFonts w:ascii="Arial" w:cs="Arial" w:eastAsia="Arial" w:hAnsi="Arial"/>
          <w:b/>
          <w:bCs/>
          <w:color w:val="1F2A44"/>
          <w:sz w:val="32"/>
          <w:szCs w:val="32"/>
        </w:rPr>
        <w:t xml:space="preserve">The shift in plain terms</w:t>
      </w:r>
    </w:p>
    <w:p>
      <w:pPr>
        <w:spacing w:after="100" w:before="60" w:line="290"/>
      </w:pPr>
      <w:r>
        <w:rPr>
          <w:b/>
          <w:bCs/>
          <w:sz w:val="22"/>
          <w:szCs w:val="22"/>
        </w:rPr>
        <w:t xml:space="preserve">Charlie answers what’s typed. The new assistant asks what’s needed.</w:t>
      </w:r>
    </w:p>
    <w:p>
      <w:pPr>
        <w:spacing w:after="100" w:before="60" w:line="290"/>
      </w:pPr>
      <w:r>
        <w:rPr>
          <w:sz w:val="22"/>
          <w:szCs w:val="22"/>
        </w:rPr>
        <w:t xml:space="preserve">That’s the single biggest behavioural change. Rather than matching words to a list of pre-written articles, the new assistant treats every conversation as a conversation — it asks a follow-up question when the surface query has more than one likely meaning, and it routes to the right outcome based on the student’s actual purpose.</w:t>
      </w:r>
    </w:p>
    <w:p>
      <w:pPr>
        <w:spacing w:after="100" w:before="60" w:line="290"/>
      </w:pPr>
      <w:r>
        <w:rPr>
          <w:sz w:val="22"/>
          <w:szCs w:val="22"/>
        </w:rPr>
        <w:t xml:space="preserve">It’s not built around a list of FAQ topics. It’s built around a small number of conversation types — the kinds of conversation a student can be having with us at any moment. Every interaction fits one or more of these types, regardless of the topic.</w:t>
      </w:r>
    </w:p>
    <w:p>
      <w:pPr>
        <w:pStyle w:val="Heading1"/>
        <w:spacing w:after="100" w:before="280"/>
      </w:pPr>
      <w:r>
        <w:rPr>
          <w:rFonts w:ascii="Arial" w:cs="Arial" w:eastAsia="Arial" w:hAnsi="Arial"/>
          <w:b/>
          <w:bCs/>
          <w:color w:val="1F2A44"/>
          <w:sz w:val="32"/>
          <w:szCs w:val="32"/>
        </w:rPr>
        <w:t xml:space="preserve">The six kinds of conversation</w:t>
      </w:r>
    </w:p>
    <w:p>
      <w:pPr>
        <w:spacing w:after="100" w:before="60" w:line="290"/>
      </w:pPr>
      <w:r>
        <w:rPr>
          <w:sz w:val="22"/>
          <w:szCs w:val="22"/>
        </w:rPr>
        <w:t xml:space="preserve">These six types cover everything the assistant has to handle. The first four are available at launch. The last two are proactive — the assistant initiates the conversation rather than the student — and require additional capability that comes in a follow-up release.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26"/>
      </w:tblGrid>
      <w:tr>
        <w:trPr>
          <w:tblHeader/>
        </w:trPr>
        <w:tc>
          <w:tcPr>
            <w:tcW w:type="dxa" w:w="2400"/>
            <w:tcBorders>
              <w:top w:val="single" w:color="BFBFBF" w:sz="4"/>
              <w:left w:val="single" w:color="BFBFBF" w:sz="4"/>
              <w:bottom w:val="single" w:color="BFBFBF" w:sz="4"/>
              <w:right w:val="single" w:color="BFBFBF" w:sz="4"/>
            </w:tcBorders>
            <w:shd w:fill="1F2A44" w:val="clear"/>
            <w:tcMar>
              <w:top w:type="dxa" w:w="100"/>
              <w:left w:type="dxa" w:w="160"/>
              <w:bottom w:type="dxa" w:w="100"/>
              <w:right w:type="dxa" w:w="160"/>
            </w:tcMar>
          </w:tcPr>
          <w:p>
            <w:pPr>
              <w:spacing w:after="30" w:before="30" w:line="270"/>
            </w:pPr>
            <w:r>
              <w:rPr>
                <w:b/>
                <w:bCs/>
                <w:color w:val="FFFFFF"/>
                <w:sz w:val="19"/>
                <w:szCs w:val="19"/>
              </w:rPr>
              <w:t xml:space="preserve">What the student is doing</w:t>
            </w:r>
          </w:p>
        </w:tc>
        <w:tc>
          <w:tcPr>
            <w:tcW w:type="dxa" w:w="3300"/>
            <w:tcBorders>
              <w:top w:val="single" w:color="BFBFBF" w:sz="4"/>
              <w:left w:val="single" w:color="BFBFBF" w:sz="4"/>
              <w:bottom w:val="single" w:color="BFBFBF" w:sz="4"/>
              <w:right w:val="single" w:color="BFBFBF" w:sz="4"/>
            </w:tcBorders>
            <w:shd w:fill="1F2A44" w:val="clear"/>
            <w:tcMar>
              <w:top w:type="dxa" w:w="100"/>
              <w:left w:type="dxa" w:w="160"/>
              <w:bottom w:type="dxa" w:w="100"/>
              <w:right w:type="dxa" w:w="160"/>
            </w:tcMar>
          </w:tcPr>
          <w:p>
            <w:pPr>
              <w:spacing w:after="30" w:before="30" w:line="270"/>
            </w:pPr>
            <w:r>
              <w:rPr>
                <w:b/>
                <w:bCs/>
                <w:color w:val="FFFFFF"/>
                <w:sz w:val="19"/>
                <w:szCs w:val="19"/>
              </w:rPr>
              <w:t xml:space="preserve">What the assistant needs to do</w:t>
            </w:r>
          </w:p>
        </w:tc>
        <w:tc>
          <w:tcPr>
            <w:tcW w:type="dxa" w:w="3326"/>
            <w:tcBorders>
              <w:top w:val="single" w:color="BFBFBF" w:sz="4"/>
              <w:left w:val="single" w:color="BFBFBF" w:sz="4"/>
              <w:bottom w:val="single" w:color="BFBFBF" w:sz="4"/>
              <w:right w:val="single" w:color="BFBFBF" w:sz="4"/>
            </w:tcBorders>
            <w:shd w:fill="1F2A44" w:val="clear"/>
            <w:tcMar>
              <w:top w:type="dxa" w:w="100"/>
              <w:left w:type="dxa" w:w="160"/>
              <w:bottom w:type="dxa" w:w="100"/>
              <w:right w:type="dxa" w:w="160"/>
            </w:tcMar>
          </w:tcPr>
          <w:p>
            <w:pPr>
              <w:spacing w:after="30" w:before="30" w:line="270"/>
            </w:pPr>
            <w:r>
              <w:rPr>
                <w:b/>
                <w:bCs/>
                <w:color w:val="FFFFFF"/>
                <w:sz w:val="19"/>
                <w:szCs w:val="19"/>
              </w:rPr>
              <w:t xml:space="preserve">An example</w:t>
            </w:r>
          </w:p>
        </w:tc>
      </w:tr>
      <w:tr>
        <w:trPr>
          <w:cantSplit/>
        </w:trPr>
        <w:tc>
          <w:tcPr>
            <w:tcW w:type="dxa" w:w="2400"/>
            <w:tcBorders>
              <w:top w:val="single" w:color="BFBFBF" w:sz="4"/>
              <w:left w:val="single" w:color="BFBFBF" w:sz="4"/>
              <w:bottom w:val="single" w:color="BFBFBF" w:sz="4"/>
              <w:right w:val="single" w:color="BFBFBF" w:sz="4"/>
            </w:tcBorders>
            <w:tcMar>
              <w:top w:type="dxa" w:w="100"/>
              <w:left w:type="dxa" w:w="160"/>
              <w:bottom w:type="dxa" w:w="100"/>
              <w:right w:type="dxa" w:w="160"/>
            </w:tcMar>
          </w:tcPr>
          <w:p>
            <w:pPr>
              <w:spacing w:after="0" w:before="30"/>
            </w:pPr>
            <w:r>
              <w:rPr>
                <w:b/>
                <w:bCs/>
                <w:sz w:val="20"/>
                <w:szCs w:val="20"/>
              </w:rPr>
              <w:t xml:space="preserve">Looking something up</w:t>
            </w:r>
          </w:p>
        </w:tc>
        <w:tc>
          <w:tcPr>
            <w:tcW w:type="dxa" w:w="3300"/>
            <w:tcBorders>
              <w:top w:val="single" w:color="BFBFBF" w:sz="4"/>
              <w:left w:val="single" w:color="BFBFBF" w:sz="4"/>
              <w:bottom w:val="single" w:color="BFBFBF" w:sz="4"/>
              <w:right w:val="single" w:color="BFBFBF" w:sz="4"/>
            </w:tcBorders>
            <w:tcMar>
              <w:top w:type="dxa" w:w="100"/>
              <w:left w:type="dxa" w:w="160"/>
              <w:bottom w:type="dxa" w:w="100"/>
              <w:right w:type="dxa" w:w="160"/>
            </w:tcMar>
          </w:tcPr>
          <w:p>
            <w:pPr>
              <w:spacing w:after="30" w:before="30" w:line="270"/>
            </w:pPr>
            <w:r>
              <w:rPr>
                <w:sz w:val="19"/>
                <w:szCs w:val="19"/>
              </w:rPr>
              <w:t xml:space="preserve">Find out what the student actually needs before answering. Surface questions often hide a different real need.</w:t>
            </w:r>
          </w:p>
        </w:tc>
        <w:tc>
          <w:tcPr>
            <w:tcW w:type="dxa" w:w="3326"/>
            <w:tcBorders>
              <w:top w:val="single" w:color="BFBFBF" w:sz="4"/>
              <w:left w:val="single" w:color="BFBFBF" w:sz="4"/>
              <w:bottom w:val="single" w:color="BFBFBF" w:sz="4"/>
              <w:right w:val="single" w:color="BFBFBF" w:sz="4"/>
            </w:tcBorders>
            <w:tcMar>
              <w:top w:type="dxa" w:w="100"/>
              <w:left w:type="dxa" w:w="160"/>
              <w:bottom w:type="dxa" w:w="100"/>
              <w:right w:type="dxa" w:w="160"/>
            </w:tcMar>
          </w:tcPr>
          <w:p>
            <w:pPr>
              <w:spacing w:after="30" w:before="30" w:line="270"/>
            </w:pPr>
            <w:r>
              <w:rPr>
                <w:sz w:val="19"/>
                <w:szCs w:val="19"/>
              </w:rPr>
              <w:t xml:space="preserve">“What is SSAF?” — might mean “what does it fund”, “how do I pay”, or “how do I defer it?”</w:t>
            </w:r>
          </w:p>
        </w:tc>
      </w:tr>
      <w:tr>
        <w:trPr>
          <w:cantSplit/>
        </w:trPr>
        <w:tc>
          <w:tcPr>
            <w:tcW w:type="dxa" w:w="2400"/>
            <w:tcBorders>
              <w:top w:val="single" w:color="BFBFBF" w:sz="4"/>
              <w:left w:val="single" w:color="BFBFBF" w:sz="4"/>
              <w:bottom w:val="single" w:color="BFBFBF" w:sz="4"/>
              <w:right w:val="single" w:color="BFBFBF" w:sz="4"/>
            </w:tcBorders>
            <w:tcMar>
              <w:top w:type="dxa" w:w="100"/>
              <w:left w:type="dxa" w:w="160"/>
              <w:bottom w:type="dxa" w:w="100"/>
              <w:right w:type="dxa" w:w="160"/>
            </w:tcMar>
          </w:tcPr>
          <w:p>
            <w:pPr>
              <w:spacing w:after="0" w:before="30"/>
            </w:pPr>
            <w:r>
              <w:rPr>
                <w:b/>
                <w:bCs/>
                <w:sz w:val="20"/>
                <w:szCs w:val="20"/>
              </w:rPr>
              <w:t xml:space="preserve">Checking on something</w:t>
            </w:r>
          </w:p>
        </w:tc>
        <w:tc>
          <w:tcPr>
            <w:tcW w:type="dxa" w:w="3300"/>
            <w:tcBorders>
              <w:top w:val="single" w:color="BFBFBF" w:sz="4"/>
              <w:left w:val="single" w:color="BFBFBF" w:sz="4"/>
              <w:bottom w:val="single" w:color="BFBFBF" w:sz="4"/>
              <w:right w:val="single" w:color="BFBFBF" w:sz="4"/>
            </w:tcBorders>
            <w:tcMar>
              <w:top w:type="dxa" w:w="100"/>
              <w:left w:type="dxa" w:w="160"/>
              <w:bottom w:type="dxa" w:w="100"/>
              <w:right w:type="dxa" w:w="160"/>
            </w:tcMar>
          </w:tcPr>
          <w:p>
            <w:pPr>
              <w:spacing w:after="30" w:before="30" w:line="270"/>
            </w:pPr>
            <w:r>
              <w:rPr>
                <w:sz w:val="19"/>
                <w:szCs w:val="19"/>
              </w:rPr>
              <w:t xml:space="preserve">Look up the student’s record and tell them where things stand. Not a generic answer — their answer.</w:t>
            </w:r>
          </w:p>
        </w:tc>
        <w:tc>
          <w:tcPr>
            <w:tcW w:type="dxa" w:w="3326"/>
            <w:tcBorders>
              <w:top w:val="single" w:color="BFBFBF" w:sz="4"/>
              <w:left w:val="single" w:color="BFBFBF" w:sz="4"/>
              <w:bottom w:val="single" w:color="BFBFBF" w:sz="4"/>
              <w:right w:val="single" w:color="BFBFBF" w:sz="4"/>
            </w:tcBorders>
            <w:tcMar>
              <w:top w:type="dxa" w:w="100"/>
              <w:left w:type="dxa" w:w="160"/>
              <w:bottom w:type="dxa" w:w="100"/>
              <w:right w:type="dxa" w:w="160"/>
            </w:tcMar>
          </w:tcPr>
          <w:p>
            <w:pPr>
              <w:spacing w:after="30" w:before="30" w:line="270"/>
            </w:pPr>
            <w:r>
              <w:rPr>
                <w:sz w:val="19"/>
                <w:szCs w:val="19"/>
              </w:rPr>
              <w:t xml:space="preserve">“Did my course transfer go through?” — the assistant looks at the record and replies.</w:t>
            </w:r>
          </w:p>
        </w:tc>
      </w:tr>
      <w:tr>
        <w:trPr>
          <w:cantSplit/>
        </w:trPr>
        <w:tc>
          <w:tcPr>
            <w:tcW w:type="dxa" w:w="2400"/>
            <w:tcBorders>
              <w:top w:val="single" w:color="BFBFBF" w:sz="4"/>
              <w:left w:val="single" w:color="BFBFBF" w:sz="4"/>
              <w:bottom w:val="single" w:color="BFBFBF" w:sz="4"/>
              <w:right w:val="single" w:color="BFBFBF" w:sz="4"/>
            </w:tcBorders>
            <w:tcMar>
              <w:top w:type="dxa" w:w="100"/>
              <w:left w:type="dxa" w:w="160"/>
              <w:bottom w:type="dxa" w:w="100"/>
              <w:right w:type="dxa" w:w="160"/>
            </w:tcMar>
          </w:tcPr>
          <w:p>
            <w:pPr>
              <w:spacing w:after="0" w:before="30"/>
            </w:pPr>
            <w:r>
              <w:rPr>
                <w:b/>
                <w:bCs/>
                <w:sz w:val="20"/>
                <w:szCs w:val="20"/>
              </w:rPr>
              <w:t xml:space="preserve">Making a decision</w:t>
            </w:r>
          </w:p>
        </w:tc>
        <w:tc>
          <w:tcPr>
            <w:tcW w:type="dxa" w:w="3300"/>
            <w:tcBorders>
              <w:top w:val="single" w:color="BFBFBF" w:sz="4"/>
              <w:left w:val="single" w:color="BFBFBF" w:sz="4"/>
              <w:bottom w:val="single" w:color="BFBFBF" w:sz="4"/>
              <w:right w:val="single" w:color="BFBFBF" w:sz="4"/>
            </w:tcBorders>
            <w:tcMar>
              <w:top w:type="dxa" w:w="100"/>
              <w:left w:type="dxa" w:w="160"/>
              <w:bottom w:type="dxa" w:w="100"/>
              <w:right w:type="dxa" w:w="160"/>
            </w:tcMar>
          </w:tcPr>
          <w:p>
            <w:pPr>
              <w:spacing w:after="30" w:before="30" w:line="270"/>
            </w:pPr>
            <w:r>
              <w:rPr>
                <w:sz w:val="19"/>
                <w:szCs w:val="19"/>
              </w:rPr>
              <w:t xml:space="preserve">Walk the student through the choice. Check eligibility. Confirm. Lodge the action.</w:t>
            </w:r>
          </w:p>
        </w:tc>
        <w:tc>
          <w:tcPr>
            <w:tcW w:type="dxa" w:w="3326"/>
            <w:tcBorders>
              <w:top w:val="single" w:color="BFBFBF" w:sz="4"/>
              <w:left w:val="single" w:color="BFBFBF" w:sz="4"/>
              <w:bottom w:val="single" w:color="BFBFBF" w:sz="4"/>
              <w:right w:val="single" w:color="BFBFBF" w:sz="4"/>
            </w:tcBorders>
            <w:tcMar>
              <w:top w:type="dxa" w:w="100"/>
              <w:left w:type="dxa" w:w="160"/>
              <w:bottom w:type="dxa" w:w="100"/>
              <w:right w:type="dxa" w:w="160"/>
            </w:tcMar>
          </w:tcPr>
          <w:p>
            <w:pPr>
              <w:spacing w:after="30" w:before="30" w:line="270"/>
            </w:pPr>
            <w:r>
              <w:rPr>
                <w:sz w:val="19"/>
                <w:szCs w:val="19"/>
              </w:rPr>
              <w:t xml:space="preserve">“I want to defer my SSAF” — the assistant guides them through the form, in the chat.</w:t>
            </w:r>
          </w:p>
        </w:tc>
      </w:tr>
      <w:tr>
        <w:trPr>
          <w:cantSplit/>
        </w:trPr>
        <w:tc>
          <w:tcPr>
            <w:tcW w:type="dxa" w:w="2400"/>
            <w:tcBorders>
              <w:top w:val="single" w:color="BFBFBF" w:sz="4"/>
              <w:left w:val="single" w:color="BFBFBF" w:sz="4"/>
              <w:bottom w:val="single" w:color="BFBFBF" w:sz="4"/>
              <w:right w:val="single" w:color="BFBFBF" w:sz="4"/>
            </w:tcBorders>
            <w:tcMar>
              <w:top w:type="dxa" w:w="100"/>
              <w:left w:type="dxa" w:w="160"/>
              <w:bottom w:type="dxa" w:w="100"/>
              <w:right w:type="dxa" w:w="160"/>
            </w:tcMar>
          </w:tcPr>
          <w:p>
            <w:pPr>
              <w:spacing w:after="0" w:before="30"/>
            </w:pPr>
            <w:r>
              <w:rPr>
                <w:b/>
                <w:bCs/>
                <w:sz w:val="20"/>
                <w:szCs w:val="20"/>
              </w:rPr>
              <w:t xml:space="preserve">Reaching out about how they’re feeling</w:t>
            </w:r>
          </w:p>
        </w:tc>
        <w:tc>
          <w:tcPr>
            <w:tcW w:type="dxa" w:w="3300"/>
            <w:tcBorders>
              <w:top w:val="single" w:color="BFBFBF" w:sz="4"/>
              <w:left w:val="single" w:color="BFBFBF" w:sz="4"/>
              <w:bottom w:val="single" w:color="BFBFBF" w:sz="4"/>
              <w:right w:val="single" w:color="BFBFBF" w:sz="4"/>
            </w:tcBorders>
            <w:tcMar>
              <w:top w:type="dxa" w:w="100"/>
              <w:left w:type="dxa" w:w="160"/>
              <w:bottom w:type="dxa" w:w="100"/>
              <w:right w:type="dxa" w:w="160"/>
            </w:tcMar>
          </w:tcPr>
          <w:p>
            <w:pPr>
              <w:spacing w:after="30" w:before="30" w:line="270"/>
            </w:pPr>
            <w:r>
              <w:rPr>
                <w:sz w:val="19"/>
                <w:szCs w:val="19"/>
              </w:rPr>
              <w:t xml:space="preserve">Listen. Recognise distress signals. Surface support options. Hand off to a person if it’s serious.</w:t>
            </w:r>
          </w:p>
        </w:tc>
        <w:tc>
          <w:tcPr>
            <w:tcW w:type="dxa" w:w="3326"/>
            <w:tcBorders>
              <w:top w:val="single" w:color="BFBFBF" w:sz="4"/>
              <w:left w:val="single" w:color="BFBFBF" w:sz="4"/>
              <w:bottom w:val="single" w:color="BFBFBF" w:sz="4"/>
              <w:right w:val="single" w:color="BFBFBF" w:sz="4"/>
            </w:tcBorders>
            <w:tcMar>
              <w:top w:type="dxa" w:w="100"/>
              <w:left w:type="dxa" w:w="160"/>
              <w:bottom w:type="dxa" w:w="100"/>
              <w:right w:type="dxa" w:w="160"/>
            </w:tcMar>
          </w:tcPr>
          <w:p>
            <w:pPr>
              <w:spacing w:after="30" w:before="30" w:line="270"/>
            </w:pPr>
            <w:r>
              <w:rPr>
                <w:sz w:val="19"/>
                <w:szCs w:val="19"/>
              </w:rPr>
              <w:t xml:space="preserve">“I’m not coping”, “I’m thinking of dropping out” — these aren’t information requests.</w:t>
            </w:r>
          </w:p>
        </w:tc>
      </w:tr>
      <w:tr>
        <w:trPr>
          <w:cantSplit/>
        </w:trPr>
        <w:tc>
          <w:tcPr>
            <w:tcW w:type="dxa" w:w="2400"/>
            <w:tcBorders>
              <w:top w:val="single" w:color="BFBFBF" w:sz="4"/>
              <w:left w:val="single" w:color="BFBFBF" w:sz="4"/>
              <w:bottom w:val="single" w:color="BFBFBF" w:sz="4"/>
              <w:right w:val="single" w:color="BFBFBF" w:sz="4"/>
            </w:tcBorders>
            <w:shd w:fill="E5F1F4" w:val="clear"/>
            <w:tcMar>
              <w:top w:type="dxa" w:w="100"/>
              <w:left w:type="dxa" w:w="160"/>
              <w:bottom w:type="dxa" w:w="100"/>
              <w:right w:type="dxa" w:w="160"/>
            </w:tcMar>
          </w:tcPr>
          <w:p>
            <w:pPr>
              <w:spacing w:after="0" w:before="30"/>
            </w:pPr>
            <w:r>
              <w:rPr>
                <w:b/>
                <w:bCs/>
                <w:sz w:val="20"/>
                <w:szCs w:val="20"/>
              </w:rPr>
              <w:t xml:space="preserve">Getting a heads-up</w:t>
            </w:r>
          </w:p>
        </w:tc>
        <w:tc>
          <w:tcPr>
            <w:tcW w:type="dxa" w:w="3300"/>
            <w:tcBorders>
              <w:top w:val="single" w:color="BFBFBF" w:sz="4"/>
              <w:left w:val="single" w:color="BFBFBF" w:sz="4"/>
              <w:bottom w:val="single" w:color="BFBFBF" w:sz="4"/>
              <w:right w:val="single" w:color="BFBFBF" w:sz="4"/>
            </w:tcBorders>
            <w:shd w:fill="E5F1F4" w:val="clear"/>
            <w:tcMar>
              <w:top w:type="dxa" w:w="100"/>
              <w:left w:type="dxa" w:w="160"/>
              <w:bottom w:type="dxa" w:w="100"/>
              <w:right w:type="dxa" w:w="160"/>
            </w:tcMar>
          </w:tcPr>
          <w:p>
            <w:pPr>
              <w:spacing w:after="30" w:before="30" w:line="270"/>
            </w:pPr>
            <w:r>
              <w:rPr>
                <w:sz w:val="19"/>
                <w:szCs w:val="19"/>
              </w:rPr>
              <w:t xml:space="preserve">Reach out to the student first — before a deadline is missed or a decision goes the wrong way.</w:t>
            </w:r>
          </w:p>
        </w:tc>
        <w:tc>
          <w:tcPr>
            <w:tcW w:type="dxa" w:w="3326"/>
            <w:tcBorders>
              <w:top w:val="single" w:color="BFBFBF" w:sz="4"/>
              <w:left w:val="single" w:color="BFBFBF" w:sz="4"/>
              <w:bottom w:val="single" w:color="BFBFBF" w:sz="4"/>
              <w:right w:val="single" w:color="BFBFBF" w:sz="4"/>
            </w:tcBorders>
            <w:shd w:fill="E5F1F4" w:val="clear"/>
            <w:tcMar>
              <w:top w:type="dxa" w:w="100"/>
              <w:left w:type="dxa" w:w="160"/>
              <w:bottom w:type="dxa" w:w="100"/>
              <w:right w:type="dxa" w:w="160"/>
            </w:tcMar>
          </w:tcPr>
          <w:p>
            <w:pPr>
              <w:spacing w:after="30" w:before="30" w:line="270"/>
            </w:pPr>
            <w:r>
              <w:rPr>
                <w:sz w:val="19"/>
                <w:szCs w:val="19"/>
              </w:rPr>
              <w:t xml:space="preserve">“You can defer your SSAF — here’s how. The deadline is in 6 days.”</w:t>
            </w:r>
          </w:p>
        </w:tc>
      </w:tr>
      <w:tr>
        <w:trPr>
          <w:cantSplit/>
        </w:trPr>
        <w:tc>
          <w:tcPr>
            <w:tcW w:type="dxa" w:w="2400"/>
            <w:tcBorders>
              <w:top w:val="single" w:color="BFBFBF" w:sz="4"/>
              <w:left w:val="single" w:color="BFBFBF" w:sz="4"/>
              <w:bottom w:val="single" w:color="BFBFBF" w:sz="4"/>
              <w:right w:val="single" w:color="BFBFBF" w:sz="4"/>
            </w:tcBorders>
            <w:shd w:fill="E5F1F4" w:val="clear"/>
            <w:tcMar>
              <w:top w:type="dxa" w:w="100"/>
              <w:left w:type="dxa" w:w="160"/>
              <w:bottom w:type="dxa" w:w="100"/>
              <w:right w:type="dxa" w:w="160"/>
            </w:tcMar>
          </w:tcPr>
          <w:p>
            <w:pPr>
              <w:spacing w:after="0" w:before="30"/>
            </w:pPr>
            <w:r>
              <w:rPr>
                <w:b/>
                <w:bCs/>
                <w:sz w:val="20"/>
                <w:szCs w:val="20"/>
              </w:rPr>
              <w:t xml:space="preserve">Being checked in on</w:t>
            </w:r>
          </w:p>
        </w:tc>
        <w:tc>
          <w:tcPr>
            <w:tcW w:type="dxa" w:w="3300"/>
            <w:tcBorders>
              <w:top w:val="single" w:color="BFBFBF" w:sz="4"/>
              <w:left w:val="single" w:color="BFBFBF" w:sz="4"/>
              <w:bottom w:val="single" w:color="BFBFBF" w:sz="4"/>
              <w:right w:val="single" w:color="BFBFBF" w:sz="4"/>
            </w:tcBorders>
            <w:shd w:fill="E5F1F4" w:val="clear"/>
            <w:tcMar>
              <w:top w:type="dxa" w:w="100"/>
              <w:left w:type="dxa" w:w="160"/>
              <w:bottom w:type="dxa" w:w="100"/>
              <w:right w:type="dxa" w:w="160"/>
            </w:tcMar>
          </w:tcPr>
          <w:p>
            <w:pPr>
              <w:spacing w:after="30" w:before="30" w:line="270"/>
            </w:pPr>
            <w:r>
              <w:rPr>
                <w:sz w:val="19"/>
                <w:szCs w:val="19"/>
              </w:rPr>
              <w:t xml:space="preserve">Notice when patterns suggest a student is struggling. Reach out gently. Offer help.</w:t>
            </w:r>
          </w:p>
        </w:tc>
        <w:tc>
          <w:tcPr>
            <w:tcW w:type="dxa" w:w="3326"/>
            <w:tcBorders>
              <w:top w:val="single" w:color="BFBFBF" w:sz="4"/>
              <w:left w:val="single" w:color="BFBFBF" w:sz="4"/>
              <w:bottom w:val="single" w:color="BFBFBF" w:sz="4"/>
              <w:right w:val="single" w:color="BFBFBF" w:sz="4"/>
            </w:tcBorders>
            <w:shd w:fill="E5F1F4" w:val="clear"/>
            <w:tcMar>
              <w:top w:type="dxa" w:w="100"/>
              <w:left w:type="dxa" w:w="160"/>
              <w:bottom w:type="dxa" w:w="100"/>
              <w:right w:type="dxa" w:w="160"/>
            </w:tcMar>
          </w:tcPr>
          <w:p>
            <w:pPr>
              <w:spacing w:after="30" w:before="30" w:line="270"/>
            </w:pPr>
            <w:r>
              <w:rPr>
                <w:sz w:val="19"/>
                <w:szCs w:val="19"/>
              </w:rPr>
              <w:t xml:space="preserve">“We’ve noticed you haven’t logged into Moodle for two weeks. Is everything okay?”</w:t>
            </w:r>
          </w:p>
        </w:tc>
      </w:tr>
    </w:tbl>
    <w:p>
      <w:pPr>
        <w:spacing w:after="0" w:before="60"/>
      </w:pPr>
      <w:r>
        <w:t xml:space="preserve"/>
      </w:r>
    </w:p>
    <w:p>
      <w:pPr>
        <w:spacing w:after="100" w:before="60" w:line="290"/>
      </w:pPr>
      <w:r>
        <w:rPr>
          <w:b/>
          <w:bCs/>
          <w:sz w:val="22"/>
          <w:szCs w:val="22"/>
        </w:rPr>
        <w:t xml:space="preserve">What sits behind these. </w:t>
      </w:r>
      <w:r>
        <w:rPr>
          <w:sz w:val="22"/>
          <w:szCs w:val="22"/>
        </w:rPr>
        <w:t xml:space="preserve">Three things shape every conversation regardless of which type it is. Who the student is (international, regional, online, mature, accessibility, first-in-family, OUA, recent-Y12 — the persona overlays from the Journeys work). Where they are in their journey (Accept / Welcome / Transition-in / Study). And what the conversation is signalling about how they’re coping. A high-distress signal in any conversation type changes how the assistant responds and when it hands off to a person.</w:t>
      </w:r>
    </w:p>
    <w:p>
      <w:pPr>
        <w:pStyle w:val="Heading1"/>
        <w:spacing w:after="100" w:before="280"/>
      </w:pPr>
      <w:r>
        <w:rPr>
          <w:rFonts w:ascii="Arial" w:cs="Arial" w:eastAsia="Arial" w:hAnsi="Arial"/>
          <w:b/>
          <w:bCs/>
          <w:color w:val="1F2A44"/>
          <w:sz w:val="32"/>
          <w:szCs w:val="32"/>
        </w:rPr>
        <w:t xml:space="preserve">Worked example: SSAF, end to end</w:t>
      </w:r>
    </w:p>
    <w:p>
      <w:pPr>
        <w:spacing w:after="100" w:before="60" w:line="290"/>
      </w:pPr>
      <w:r>
        <w:rPr>
          <w:sz w:val="22"/>
          <w:szCs w:val="22"/>
        </w:rPr>
        <w:t xml:space="preserve">SSAF is one of the clearest worked examples of the surface-versus-real-need gap, and one of the highest-impact opportunities for the new assistant. Many students come to Charlie asking “What is SSAF?” — not because they want a definition, but because they’re trying to figure out how to pay it, how to defer it to HELP, whether they’re exempt, or why their enrolment has been blocked.</w:t>
      </w:r>
    </w:p>
    <w:p>
      <w:pPr>
        <w:spacing w:after="100" w:before="60" w:line="290"/>
      </w:pPr>
      <w:r>
        <w:rPr>
          <w:sz w:val="22"/>
          <w:szCs w:val="22"/>
        </w:rPr>
        <w:t xml:space="preserve">Most students who are eligible to defer SSAF to HELP don’t know that they have to submit a different form to do so — it’s not the same form as deferring tuition. They miss the deadline. The sanction lands. They can’t re-enrol or see their results until it’s sorted out.</w:t>
      </w:r>
    </w:p>
    <w:p>
      <w:pPr>
        <w:pBdr>
          <w:left w:val="single" w:color="C8102E" w:sz="18" w:space="12"/>
        </w:pBdr>
        <w:spacing w:after="120" w:before="80" w:line="290"/>
        <w:ind w:left="360"/>
      </w:pPr>
      <w:r>
        <w:rPr>
          <w:i/>
          <w:iCs/>
          <w:color w:val="1F2A44"/>
          <w:sz w:val="22"/>
          <w:szCs w:val="22"/>
        </w:rPr>
        <w:t xml:space="preserve">In Semester 1 this year, 7,648 students received a sanction for fee non-payment. The majority are assumed to be SSAF non-payment.</w:t>
      </w:r>
    </w:p>
    <w:p>
      <w:pPr>
        <w:spacing w:after="100" w:before="60" w:line="290"/>
      </w:pPr>
      <w:r>
        <w:rPr>
          <w:sz w:val="22"/>
          <w:szCs w:val="22"/>
        </w:rPr>
        <w:t xml:space="preserve">Putting the conversation types together, here’s how SSAF goes from where it is today to where the assistant lands it at launch, and where it goes once the assistant can reach out proactively.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1F2A44" w:val="clear"/>
            <w:tcMar>
              <w:top w:type="dxa" w:w="100"/>
              <w:left w:type="dxa" w:w="160"/>
              <w:bottom w:type="dxa" w:w="100"/>
              <w:right w:type="dxa" w:w="160"/>
            </w:tcMar>
          </w:tcPr>
          <w:p>
            <w:pPr>
              <w:spacing w:after="30" w:before="30" w:line="270"/>
            </w:pPr>
            <w:r>
              <w:rPr>
                <w:b/>
                <w:bCs/>
                <w:color w:val="FFFFFF"/>
                <w:sz w:val="19"/>
                <w:szCs w:val="19"/>
              </w:rPr>
              <w:t xml:space="preserve">Charlie today</w:t>
            </w:r>
          </w:p>
        </w:tc>
        <w:tc>
          <w:tcPr>
            <w:tcW w:type="dxa" w:w="4513"/>
            <w:tcBorders>
              <w:top w:val="single" w:color="BFBFBF" w:sz="4"/>
              <w:left w:val="single" w:color="BFBFBF" w:sz="4"/>
              <w:bottom w:val="single" w:color="BFBFBF" w:sz="4"/>
              <w:right w:val="single" w:color="BFBFBF" w:sz="4"/>
            </w:tcBorders>
            <w:shd w:fill="1F2A44" w:val="clear"/>
            <w:tcMar>
              <w:top w:type="dxa" w:w="100"/>
              <w:left w:type="dxa" w:w="160"/>
              <w:bottom w:type="dxa" w:w="100"/>
              <w:right w:type="dxa" w:w="160"/>
            </w:tcMar>
          </w:tcPr>
          <w:p>
            <w:pPr>
              <w:spacing w:after="30" w:before="30" w:line="270"/>
            </w:pPr>
            <w:r>
              <w:rPr>
                <w:b/>
                <w:bCs/>
                <w:color w:val="FFFFFF"/>
                <w:sz w:val="19"/>
                <w:szCs w:val="19"/>
              </w:rPr>
              <w:t xml:space="preserve">The new assistant</w:t>
            </w:r>
          </w:p>
        </w:tc>
      </w:tr>
      <w:tr>
        <w:trPr>
          <w:cantSplit/>
        </w:trPr>
        <w:tc>
          <w:tcPr>
            <w:tcW w:type="dxa" w:w="4513"/>
            <w:tcBorders>
              <w:top w:val="single" w:color="BFBFBF" w:sz="4"/>
              <w:left w:val="single" w:color="BFBFBF" w:sz="4"/>
              <w:bottom w:val="single" w:color="BFBFBF" w:sz="4"/>
              <w:right w:val="single" w:color="BFBFBF" w:sz="4"/>
            </w:tcBorders>
            <w:shd w:fill="F5F7FA" w:val="clear"/>
            <w:tcMar>
              <w:top w:type="dxa" w:w="100"/>
              <w:left w:type="dxa" w:w="160"/>
              <w:bottom w:type="dxa" w:w="100"/>
              <w:right w:type="dxa" w:w="160"/>
            </w:tcMar>
          </w:tcPr>
          <w:p>
            <w:pPr>
              <w:spacing w:after="30" w:before="30" w:line="270"/>
            </w:pPr>
            <w:r>
              <w:rPr>
                <w:sz w:val="19"/>
                <w:szCs w:val="19"/>
              </w:rPr>
              <w:t xml:space="preserve">Student types “What is SSAF?” → Charlie returns the FAQ definition.</w:t>
            </w:r>
          </w:p>
        </w:tc>
        <w:tc>
          <w:tcPr>
            <w:tcW w:type="dxa" w:w="4513"/>
            <w:tcBorders>
              <w:top w:val="single" w:color="BFBFBF" w:sz="4"/>
              <w:left w:val="single" w:color="BFBFBF" w:sz="4"/>
              <w:bottom w:val="single" w:color="BFBFBF" w:sz="4"/>
              <w:right w:val="single" w:color="BFBFBF" w:sz="4"/>
            </w:tcBorders>
            <w:tcMar>
              <w:top w:type="dxa" w:w="100"/>
              <w:left w:type="dxa" w:w="160"/>
              <w:bottom w:type="dxa" w:w="100"/>
              <w:right w:type="dxa" w:w="160"/>
            </w:tcMar>
          </w:tcPr>
          <w:p>
            <w:pPr>
              <w:spacing w:after="30" w:before="30" w:line="270"/>
            </w:pPr>
            <w:r>
              <w:rPr>
                <w:sz w:val="19"/>
                <w:szCs w:val="19"/>
              </w:rPr>
              <w:t xml:space="preserve">Student types “What is SSAF?” → assistant asks: “Are you trying to understand it, pay it, defer it, or sort out a sanction?”</w:t>
            </w:r>
          </w:p>
        </w:tc>
      </w:tr>
      <w:tr>
        <w:trPr>
          <w:cantSplit/>
        </w:trPr>
        <w:tc>
          <w:tcPr>
            <w:tcW w:type="dxa" w:w="4513"/>
            <w:tcBorders>
              <w:top w:val="single" w:color="BFBFBF" w:sz="4"/>
              <w:left w:val="single" w:color="BFBFBF" w:sz="4"/>
              <w:bottom w:val="single" w:color="BFBFBF" w:sz="4"/>
              <w:right w:val="single" w:color="BFBFBF" w:sz="4"/>
            </w:tcBorders>
            <w:shd w:fill="F5F7FA" w:val="clear"/>
            <w:tcMar>
              <w:top w:type="dxa" w:w="100"/>
              <w:left w:type="dxa" w:w="160"/>
              <w:bottom w:type="dxa" w:w="100"/>
              <w:right w:type="dxa" w:w="160"/>
            </w:tcMar>
          </w:tcPr>
          <w:p>
            <w:pPr>
              <w:spacing w:after="30" w:before="30" w:line="270"/>
            </w:pPr>
            <w:r>
              <w:rPr>
                <w:sz w:val="19"/>
                <w:szCs w:val="19"/>
              </w:rPr>
              <w:t xml:space="preserve">Student wanted to defer to HELP — doesn’t know there’s a separate form. Misses deadline.</w:t>
            </w:r>
          </w:p>
        </w:tc>
        <w:tc>
          <w:tcPr>
            <w:tcW w:type="dxa" w:w="4513"/>
            <w:tcBorders>
              <w:top w:val="single" w:color="BFBFBF" w:sz="4"/>
              <w:left w:val="single" w:color="BFBFBF" w:sz="4"/>
              <w:bottom w:val="single" w:color="BFBFBF" w:sz="4"/>
              <w:right w:val="single" w:color="BFBFBF" w:sz="4"/>
            </w:tcBorders>
            <w:tcMar>
              <w:top w:type="dxa" w:w="100"/>
              <w:left w:type="dxa" w:w="160"/>
              <w:bottom w:type="dxa" w:w="100"/>
              <w:right w:type="dxa" w:w="160"/>
            </w:tcMar>
          </w:tcPr>
          <w:p>
            <w:pPr>
              <w:spacing w:after="30" w:before="30" w:line="270"/>
            </w:pPr>
            <w:r>
              <w:rPr>
                <w:sz w:val="19"/>
                <w:szCs w:val="19"/>
              </w:rPr>
              <w:t xml:space="preserve">Student picks “defer” → assistant checks eligibility → walks them through the deferral form, inside the chat.</w:t>
            </w:r>
          </w:p>
        </w:tc>
      </w:tr>
      <w:tr>
        <w:trPr>
          <w:cantSplit/>
        </w:trPr>
        <w:tc>
          <w:tcPr>
            <w:tcW w:type="dxa" w:w="4513"/>
            <w:tcBorders>
              <w:top w:val="single" w:color="BFBFBF" w:sz="4"/>
              <w:left w:val="single" w:color="BFBFBF" w:sz="4"/>
              <w:bottom w:val="single" w:color="BFBFBF" w:sz="4"/>
              <w:right w:val="single" w:color="BFBFBF" w:sz="4"/>
            </w:tcBorders>
            <w:shd w:fill="F5F7FA" w:val="clear"/>
            <w:tcMar>
              <w:top w:type="dxa" w:w="100"/>
              <w:left w:type="dxa" w:w="160"/>
              <w:bottom w:type="dxa" w:w="100"/>
              <w:right w:type="dxa" w:w="160"/>
            </w:tcMar>
          </w:tcPr>
          <w:p>
            <w:pPr>
              <w:spacing w:after="30" w:before="30" w:line="270"/>
            </w:pPr>
            <w:r>
              <w:rPr>
                <w:sz w:val="19"/>
                <w:szCs w:val="19"/>
              </w:rPr>
              <w:t xml:space="preserve">Sanction lands. Student can’t enrol. Calls ASK La Trobe. Bounces between FAQs trying to figure out why.</w:t>
            </w:r>
          </w:p>
        </w:tc>
        <w:tc>
          <w:tcPr>
            <w:tcW w:type="dxa" w:w="4513"/>
            <w:tcBorders>
              <w:top w:val="single" w:color="BFBFBF" w:sz="4"/>
              <w:left w:val="single" w:color="BFBFBF" w:sz="4"/>
              <w:bottom w:val="single" w:color="BFBFBF" w:sz="4"/>
              <w:right w:val="single" w:color="BFBFBF" w:sz="4"/>
            </w:tcBorders>
            <w:tcMar>
              <w:top w:type="dxa" w:w="100"/>
              <w:left w:type="dxa" w:w="160"/>
              <w:bottom w:type="dxa" w:w="100"/>
              <w:right w:type="dxa" w:w="160"/>
            </w:tcMar>
          </w:tcPr>
          <w:p>
            <w:pPr>
              <w:spacing w:after="30" w:before="30" w:line="270"/>
            </w:pPr>
            <w:r>
              <w:rPr>
                <w:sz w:val="19"/>
                <w:szCs w:val="19"/>
              </w:rPr>
              <w:t xml:space="preserve">If the sanction has already landed, the assistant connects the symptom (“I can’t enrol”) back to the cause (“you have an unpaid SSAF”) and routes to the fix.</w:t>
            </w:r>
          </w:p>
        </w:tc>
      </w:tr>
      <w:tr>
        <w:trPr>
          <w:cantSplit/>
        </w:trPr>
        <w:tc>
          <w:tcPr>
            <w:tcW w:type="dxa" w:w="4513"/>
            <w:tcBorders>
              <w:top w:val="single" w:color="BFBFBF" w:sz="4"/>
              <w:left w:val="single" w:color="BFBFBF" w:sz="4"/>
              <w:bottom w:val="single" w:color="BFBFBF" w:sz="4"/>
              <w:right w:val="single" w:color="BFBFBF" w:sz="4"/>
            </w:tcBorders>
            <w:shd w:fill="F5F7FA" w:val="clear"/>
            <w:tcMar>
              <w:top w:type="dxa" w:w="100"/>
              <w:left w:type="dxa" w:w="160"/>
              <w:bottom w:type="dxa" w:w="100"/>
              <w:right w:type="dxa" w:w="160"/>
            </w:tcMar>
          </w:tcPr>
          <w:p>
            <w:pPr>
              <w:spacing w:after="30" w:before="30" w:line="270"/>
            </w:pPr>
            <w:r>
              <w:rPr>
                <w:sz w:val="19"/>
                <w:szCs w:val="19"/>
              </w:rPr>
              <w:t xml:space="preserve">Outcome: in Sem 1 this year, ~7,648 students received a fee non-payment sanction.</w:t>
            </w:r>
          </w:p>
        </w:tc>
        <w:tc>
          <w:tcPr>
            <w:tcW w:type="dxa" w:w="4513"/>
            <w:tcBorders>
              <w:top w:val="single" w:color="BFBFBF" w:sz="4"/>
              <w:left w:val="single" w:color="BFBFBF" w:sz="4"/>
              <w:bottom w:val="single" w:color="BFBFBF" w:sz="4"/>
              <w:right w:val="single" w:color="BFBFBF" w:sz="4"/>
            </w:tcBorders>
            <w:tcMar>
              <w:top w:type="dxa" w:w="100"/>
              <w:left w:type="dxa" w:w="160"/>
              <w:bottom w:type="dxa" w:w="100"/>
              <w:right w:type="dxa" w:w="160"/>
            </w:tcMar>
          </w:tcPr>
          <w:p>
            <w:pPr>
              <w:spacing w:after="30" w:before="30" w:line="270"/>
            </w:pPr>
            <w:r>
              <w:rPr>
                <w:sz w:val="19"/>
                <w:szCs w:val="19"/>
              </w:rPr>
              <w:t xml:space="preserve">Outcome at launch: students who do come to the assistant get the right answer. Sanctions still happen if students don’t engage.</w:t>
            </w:r>
          </w:p>
        </w:tc>
      </w:tr>
      <w:tr>
        <w:trPr>
          <w:cantSplit/>
        </w:trPr>
        <w:tc>
          <w:tcPr>
            <w:tcW w:type="dxa" w:w="4513"/>
            <w:tcBorders>
              <w:top w:val="single" w:color="BFBFBF" w:sz="4"/>
              <w:left w:val="single" w:color="BFBFBF" w:sz="4"/>
              <w:bottom w:val="single" w:color="BFBFBF" w:sz="4"/>
              <w:right w:val="single" w:color="BFBFBF" w:sz="4"/>
            </w:tcBorders>
            <w:shd w:fill="F5F7FA" w:val="clear"/>
            <w:tcMar>
              <w:top w:type="dxa" w:w="100"/>
              <w:left w:type="dxa" w:w="160"/>
              <w:bottom w:type="dxa" w:w="100"/>
              <w:right w:type="dxa" w:w="160"/>
            </w:tcMar>
          </w:tcPr>
          <w:p>
            <w:pPr>
              <w:spacing w:after="30" w:before="30" w:line="270"/>
            </w:pPr>
            <w:r>
              <w:rPr>
                <w:sz w:val="19"/>
                <w:szCs w:val="19"/>
              </w:rPr>
              <w:t xml:space="preserve"/>
            </w:r>
          </w:p>
        </w:tc>
        <w:tc>
          <w:tcPr>
            <w:tcW w:type="dxa" w:w="4513"/>
            <w:tcBorders>
              <w:top w:val="single" w:color="BFBFBF" w:sz="4"/>
              <w:left w:val="single" w:color="BFBFBF" w:sz="4"/>
              <w:bottom w:val="single" w:color="BFBFBF" w:sz="4"/>
              <w:right w:val="single" w:color="BFBFBF" w:sz="4"/>
            </w:tcBorders>
            <w:shd w:fill="E5F1F4" w:val="clear"/>
            <w:tcMar>
              <w:top w:type="dxa" w:w="100"/>
              <w:left w:type="dxa" w:w="160"/>
              <w:bottom w:type="dxa" w:w="100"/>
              <w:right w:type="dxa" w:w="160"/>
            </w:tcMar>
          </w:tcPr>
          <w:p>
            <w:pPr>
              <w:spacing w:after="30" w:before="30" w:line="270"/>
            </w:pPr>
            <w:r>
              <w:rPr>
                <w:sz w:val="19"/>
                <w:szCs w:val="19"/>
              </w:rPr>
              <w:t xml:space="preserve">Outcome once the assistant can reach out proactively: students who are eligible to defer but haven’t are reached out to before the deadline. The sanction is prevented, not recovered from.</w:t>
            </w:r>
          </w:p>
        </w:tc>
      </w:tr>
    </w:tbl>
    <w:p>
      <w:pPr>
        <w:spacing w:after="0" w:before="60"/>
      </w:pPr>
      <w:r>
        <w:t xml:space="preserve"/>
      </w:r>
    </w:p>
    <w:p>
      <w:pPr>
        <w:spacing w:after="100" w:before="60" w:line="290"/>
      </w:pPr>
      <w:r>
        <w:rPr>
          <w:sz w:val="22"/>
          <w:szCs w:val="22"/>
        </w:rPr>
        <w:t xml:space="preserve">The launch wins are real — the right answer at the right moment, and a working sanction-recovery flow for students who arrive after the fact. But the highest-impact intervention is the proactive nudge: reaching the student before the deadline. That’s where sanctions are prevented rather than recovered from.</w:t>
      </w:r>
    </w:p>
    <w:p>
      <w:pPr>
        <w:pStyle w:val="Heading1"/>
        <w:spacing w:after="100" w:before="280"/>
      </w:pPr>
      <w:r>
        <w:rPr>
          <w:rFonts w:ascii="Arial" w:cs="Arial" w:eastAsia="Arial" w:hAnsi="Arial"/>
          <w:b/>
          <w:bCs/>
          <w:color w:val="1F2A44"/>
          <w:sz w:val="32"/>
          <w:szCs w:val="32"/>
        </w:rPr>
        <w:t xml:space="preserve">“Like a PA” — what it actually means</w:t>
      </w:r>
    </w:p>
    <w:p>
      <w:pPr>
        <w:spacing w:after="100" w:before="60" w:line="290"/>
      </w:pPr>
      <w:r>
        <w:rPr>
          <w:sz w:val="22"/>
          <w:szCs w:val="22"/>
        </w:rPr>
        <w:t xml:space="preserve">Stakeholders have asked for an assistant that’s like a personal assistant for each student. The six conversation types are the concrete specification of what “like a PA” actually means — it isn’t one feature, it’s the assistant being capable of all six types of interaction, against the same student, over the months and years they’re with the University.</w:t>
      </w:r>
    </w:p>
    <w:p>
      <w:pPr>
        <w:spacing w:after="100" w:before="60" w:line="290"/>
      </w:pPr>
      <w:r>
        <w:rPr>
          <w:sz w:val="22"/>
          <w:szCs w:val="22"/>
        </w:rPr>
        <w:t xml:space="preserve">At launch, the assistant handles the four reactive types. It gets very good at meeting students in the moment they reach out. In a follow-up release, those same conversation types turn from session-bounded into relationship-bounded — the assistant carries memory of what was discussed last semester, it notices when a student’s behaviour changes, and it adds the two proactive types (heads-up, check-in). The same conversation types throughout; what changes is depth and initiative.</w:t>
      </w:r>
    </w:p>
    <w:p>
      <w:pPr>
        <w:pStyle w:val="Heading1"/>
        <w:spacing w:after="100" w:before="280"/>
      </w:pPr>
      <w:r>
        <w:rPr>
          <w:rFonts w:ascii="Arial" w:cs="Arial" w:eastAsia="Arial" w:hAnsi="Arial"/>
          <w:b/>
          <w:bCs/>
          <w:color w:val="1F2A44"/>
          <w:sz w:val="32"/>
          <w:szCs w:val="32"/>
        </w:rPr>
        <w:t xml:space="preserve">What the assistant does at launch, and what comes later</w:t>
      </w:r>
    </w:p>
    <w:p>
      <w:pPr>
        <w:spacing w:after="100" w:before="60" w:line="290"/>
      </w:pPr>
      <w:r>
        <w:rPr>
          <w:sz w:val="22"/>
          <w:szCs w:val="22"/>
        </w:rPr>
        <w:t xml:space="preserve">The launch capability is the stable replacement for Charlie. It does everything Charlie does today, better — plus the conversation-types model, plus the SSAF sanction-recovery flow, plus the journey-overlay personalisation that’s already in scope. The follow-up release adds the personalised assistant capabilities on top — the proactive conversation types and memory across the student’s relationship with the University.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BFBFBF" w:sz="4"/>
              <w:left w:val="single" w:color="BFBFBF" w:sz="4"/>
              <w:bottom w:val="single" w:color="BFBFBF" w:sz="4"/>
              <w:right w:val="single" w:color="BFBFBF" w:sz="4"/>
            </w:tcBorders>
            <w:shd w:fill="1F2A44" w:val="clear"/>
            <w:tcMar>
              <w:top w:type="dxa" w:w="100"/>
              <w:left w:type="dxa" w:w="160"/>
              <w:bottom w:type="dxa" w:w="100"/>
              <w:right w:type="dxa" w:w="160"/>
            </w:tcMar>
          </w:tcPr>
          <w:p>
            <w:pPr>
              <w:spacing w:after="30" w:before="30" w:line="270"/>
            </w:pPr>
            <w:r>
              <w:rPr>
                <w:b/>
                <w:bCs/>
                <w:color w:val="FFFFFF"/>
                <w:sz w:val="19"/>
                <w:szCs w:val="19"/>
              </w:rPr>
              <w:t xml:space="preserve">What the assistant can do</w:t>
            </w:r>
          </w:p>
        </w:tc>
        <w:tc>
          <w:tcPr>
            <w:tcW w:type="dxa" w:w="3000"/>
            <w:tcBorders>
              <w:top w:val="single" w:color="BFBFBF" w:sz="4"/>
              <w:left w:val="single" w:color="BFBFBF" w:sz="4"/>
              <w:bottom w:val="single" w:color="BFBFBF" w:sz="4"/>
              <w:right w:val="single" w:color="BFBFBF" w:sz="4"/>
            </w:tcBorders>
            <w:shd w:fill="1F2A44" w:val="clear"/>
            <w:tcMar>
              <w:top w:type="dxa" w:w="100"/>
              <w:left w:type="dxa" w:w="160"/>
              <w:bottom w:type="dxa" w:w="100"/>
              <w:right w:type="dxa" w:w="160"/>
            </w:tcMar>
          </w:tcPr>
          <w:p>
            <w:pPr>
              <w:spacing w:after="30" w:before="30" w:line="270"/>
            </w:pPr>
            <w:r>
              <w:rPr>
                <w:b/>
                <w:bCs/>
                <w:color w:val="FFFFFF"/>
                <w:sz w:val="19"/>
                <w:szCs w:val="19"/>
              </w:rPr>
              <w:t xml:space="preserve">At launch</w:t>
            </w:r>
          </w:p>
        </w:tc>
        <w:tc>
          <w:tcPr>
            <w:tcW w:type="dxa" w:w="3026"/>
            <w:tcBorders>
              <w:top w:val="single" w:color="BFBFBF" w:sz="4"/>
              <w:left w:val="single" w:color="BFBFBF" w:sz="4"/>
              <w:bottom w:val="single" w:color="BFBFBF" w:sz="4"/>
              <w:right w:val="single" w:color="BFBFBF" w:sz="4"/>
            </w:tcBorders>
            <w:shd w:fill="1F2A44" w:val="clear"/>
            <w:tcMar>
              <w:top w:type="dxa" w:w="100"/>
              <w:left w:type="dxa" w:w="160"/>
              <w:bottom w:type="dxa" w:w="100"/>
              <w:right w:type="dxa" w:w="160"/>
            </w:tcMar>
          </w:tcPr>
          <w:p>
            <w:pPr>
              <w:spacing w:after="30" w:before="30" w:line="270"/>
            </w:pPr>
            <w:r>
              <w:rPr>
                <w:b/>
                <w:bCs/>
                <w:color w:val="FFFFFF"/>
                <w:sz w:val="19"/>
                <w:szCs w:val="19"/>
              </w:rPr>
              <w:t xml:space="preserve">Later, as the assistant matures</w:t>
            </w:r>
          </w:p>
        </w:tc>
      </w:tr>
      <w:tr>
        <w:trPr>
          <w:cantSplit/>
        </w:trPr>
        <w:tc>
          <w:tcPr>
            <w:tcW w:type="dxa" w:w="3000"/>
            <w:tcBorders>
              <w:top w:val="single" w:color="BFBFBF" w:sz="4"/>
              <w:left w:val="single" w:color="BFBFBF" w:sz="4"/>
              <w:bottom w:val="single" w:color="BFBFBF" w:sz="4"/>
              <w:right w:val="single" w:color="BFBFBF" w:sz="4"/>
            </w:tcBorders>
            <w:tcMar>
              <w:top w:type="dxa" w:w="100"/>
              <w:left w:type="dxa" w:w="160"/>
              <w:bottom w:type="dxa" w:w="100"/>
              <w:right w:type="dxa" w:w="160"/>
            </w:tcMar>
          </w:tcPr>
          <w:p>
            <w:pPr>
              <w:spacing w:after="30" w:before="30" w:line="270"/>
            </w:pPr>
            <w:r>
              <w:rPr>
                <w:sz w:val="19"/>
                <w:szCs w:val="19"/>
              </w:rPr>
              <w:t xml:space="preserve">Answer questions accurately, asking what’s actually needed first</w:t>
            </w:r>
          </w:p>
        </w:tc>
        <w:tc>
          <w:tcPr>
            <w:tcW w:type="dxa" w:w="3000"/>
            <w:tcBorders>
              <w:top w:val="single" w:color="BFBFBF" w:sz="4"/>
              <w:left w:val="single" w:color="BFBFBF" w:sz="4"/>
              <w:bottom w:val="single" w:color="BFBFBF" w:sz="4"/>
              <w:right w:val="single" w:color="BFBFBF" w:sz="4"/>
            </w:tcBorders>
            <w:tcMar>
              <w:top w:type="dxa" w:w="100"/>
              <w:left w:type="dxa" w:w="160"/>
              <w:bottom w:type="dxa" w:w="100"/>
              <w:right w:type="dxa" w:w="160"/>
            </w:tcMar>
          </w:tcPr>
          <w:p>
            <w:pPr>
              <w:spacing w:after="30" w:before="30" w:line="270"/>
            </w:pPr>
            <w:r>
              <w:rPr>
                <w:sz w:val="19"/>
                <w:szCs w:val="19"/>
              </w:rPr>
              <w:t xml:space="preserve">Yes</w:t>
            </w:r>
          </w:p>
        </w:tc>
        <w:tc>
          <w:tcPr>
            <w:tcW w:type="dxa" w:w="3026"/>
            <w:tcBorders>
              <w:top w:val="single" w:color="BFBFBF" w:sz="4"/>
              <w:left w:val="single" w:color="BFBFBF" w:sz="4"/>
              <w:bottom w:val="single" w:color="BFBFBF" w:sz="4"/>
              <w:right w:val="single" w:color="BFBFBF" w:sz="4"/>
            </w:tcBorders>
            <w:shd w:fill="E5F1F4" w:val="clear"/>
            <w:tcMar>
              <w:top w:type="dxa" w:w="100"/>
              <w:left w:type="dxa" w:w="160"/>
              <w:bottom w:type="dxa" w:w="100"/>
              <w:right w:type="dxa" w:w="160"/>
            </w:tcMar>
          </w:tcPr>
          <w:p>
            <w:pPr>
              <w:spacing w:after="30" w:before="30" w:line="270"/>
            </w:pPr>
            <w:r>
              <w:rPr>
                <w:sz w:val="19"/>
                <w:szCs w:val="19"/>
              </w:rPr>
              <w:t xml:space="preserve">Yes — with memory of past conversations</w:t>
            </w:r>
          </w:p>
        </w:tc>
      </w:tr>
      <w:tr>
        <w:trPr>
          <w:cantSplit/>
        </w:trPr>
        <w:tc>
          <w:tcPr>
            <w:tcW w:type="dxa" w:w="3000"/>
            <w:tcBorders>
              <w:top w:val="single" w:color="BFBFBF" w:sz="4"/>
              <w:left w:val="single" w:color="BFBFBF" w:sz="4"/>
              <w:bottom w:val="single" w:color="BFBFBF" w:sz="4"/>
              <w:right w:val="single" w:color="BFBFBF" w:sz="4"/>
            </w:tcBorders>
            <w:tcMar>
              <w:top w:type="dxa" w:w="100"/>
              <w:left w:type="dxa" w:w="160"/>
              <w:bottom w:type="dxa" w:w="100"/>
              <w:right w:type="dxa" w:w="160"/>
            </w:tcMar>
          </w:tcPr>
          <w:p>
            <w:pPr>
              <w:spacing w:after="30" w:before="30" w:line="270"/>
            </w:pPr>
            <w:r>
              <w:rPr>
                <w:sz w:val="19"/>
                <w:szCs w:val="19"/>
              </w:rPr>
              <w:t xml:space="preserve">Look up the student’s record and answer based on it</w:t>
            </w:r>
          </w:p>
        </w:tc>
        <w:tc>
          <w:tcPr>
            <w:tcW w:type="dxa" w:w="3000"/>
            <w:tcBorders>
              <w:top w:val="single" w:color="BFBFBF" w:sz="4"/>
              <w:left w:val="single" w:color="BFBFBF" w:sz="4"/>
              <w:bottom w:val="single" w:color="BFBFBF" w:sz="4"/>
              <w:right w:val="single" w:color="BFBFBF" w:sz="4"/>
            </w:tcBorders>
            <w:tcMar>
              <w:top w:type="dxa" w:w="100"/>
              <w:left w:type="dxa" w:w="160"/>
              <w:bottom w:type="dxa" w:w="100"/>
              <w:right w:type="dxa" w:w="160"/>
            </w:tcMar>
          </w:tcPr>
          <w:p>
            <w:pPr>
              <w:spacing w:after="30" w:before="30" w:line="270"/>
            </w:pPr>
            <w:r>
              <w:rPr>
                <w:sz w:val="19"/>
                <w:szCs w:val="19"/>
              </w:rPr>
              <w:t xml:space="preserve">Yes</w:t>
            </w:r>
          </w:p>
        </w:tc>
        <w:tc>
          <w:tcPr>
            <w:tcW w:type="dxa" w:w="3026"/>
            <w:tcBorders>
              <w:top w:val="single" w:color="BFBFBF" w:sz="4"/>
              <w:left w:val="single" w:color="BFBFBF" w:sz="4"/>
              <w:bottom w:val="single" w:color="BFBFBF" w:sz="4"/>
              <w:right w:val="single" w:color="BFBFBF" w:sz="4"/>
            </w:tcBorders>
            <w:shd w:fill="E5F1F4" w:val="clear"/>
            <w:tcMar>
              <w:top w:type="dxa" w:w="100"/>
              <w:left w:type="dxa" w:w="160"/>
              <w:bottom w:type="dxa" w:w="100"/>
              <w:right w:type="dxa" w:w="160"/>
            </w:tcMar>
          </w:tcPr>
          <w:p>
            <w:pPr>
              <w:spacing w:after="30" w:before="30" w:line="270"/>
            </w:pPr>
            <w:r>
              <w:rPr>
                <w:sz w:val="19"/>
                <w:szCs w:val="19"/>
              </w:rPr>
              <w:t xml:space="preserve">Yes — with semester-long context</w:t>
            </w:r>
          </w:p>
        </w:tc>
      </w:tr>
      <w:tr>
        <w:trPr>
          <w:cantSplit/>
        </w:trPr>
        <w:tc>
          <w:tcPr>
            <w:tcW w:type="dxa" w:w="3000"/>
            <w:tcBorders>
              <w:top w:val="single" w:color="BFBFBF" w:sz="4"/>
              <w:left w:val="single" w:color="BFBFBF" w:sz="4"/>
              <w:bottom w:val="single" w:color="BFBFBF" w:sz="4"/>
              <w:right w:val="single" w:color="BFBFBF" w:sz="4"/>
            </w:tcBorders>
            <w:tcMar>
              <w:top w:type="dxa" w:w="100"/>
              <w:left w:type="dxa" w:w="160"/>
              <w:bottom w:type="dxa" w:w="100"/>
              <w:right w:type="dxa" w:w="160"/>
            </w:tcMar>
          </w:tcPr>
          <w:p>
            <w:pPr>
              <w:spacing w:after="30" w:before="30" w:line="270"/>
            </w:pPr>
            <w:r>
              <w:rPr>
                <w:sz w:val="19"/>
                <w:szCs w:val="19"/>
              </w:rPr>
              <w:t xml:space="preserve">Walk a student through a decision (defer, withdraw, transfer)</w:t>
            </w:r>
          </w:p>
        </w:tc>
        <w:tc>
          <w:tcPr>
            <w:tcW w:type="dxa" w:w="3000"/>
            <w:tcBorders>
              <w:top w:val="single" w:color="BFBFBF" w:sz="4"/>
              <w:left w:val="single" w:color="BFBFBF" w:sz="4"/>
              <w:bottom w:val="single" w:color="BFBFBF" w:sz="4"/>
              <w:right w:val="single" w:color="BFBFBF" w:sz="4"/>
            </w:tcBorders>
            <w:tcMar>
              <w:top w:type="dxa" w:w="100"/>
              <w:left w:type="dxa" w:w="160"/>
              <w:bottom w:type="dxa" w:w="100"/>
              <w:right w:type="dxa" w:w="160"/>
            </w:tcMar>
          </w:tcPr>
          <w:p>
            <w:pPr>
              <w:spacing w:after="30" w:before="30" w:line="270"/>
            </w:pPr>
            <w:r>
              <w:rPr>
                <w:sz w:val="19"/>
                <w:szCs w:val="19"/>
              </w:rPr>
              <w:t xml:space="preserve">Yes</w:t>
            </w:r>
          </w:p>
        </w:tc>
        <w:tc>
          <w:tcPr>
            <w:tcW w:type="dxa" w:w="3026"/>
            <w:tcBorders>
              <w:top w:val="single" w:color="BFBFBF" w:sz="4"/>
              <w:left w:val="single" w:color="BFBFBF" w:sz="4"/>
              <w:bottom w:val="single" w:color="BFBFBF" w:sz="4"/>
              <w:right w:val="single" w:color="BFBFBF" w:sz="4"/>
            </w:tcBorders>
            <w:shd w:fill="E5F1F4" w:val="clear"/>
            <w:tcMar>
              <w:top w:type="dxa" w:w="100"/>
              <w:left w:type="dxa" w:w="160"/>
              <w:bottom w:type="dxa" w:w="100"/>
              <w:right w:type="dxa" w:w="160"/>
            </w:tcMar>
          </w:tcPr>
          <w:p>
            <w:pPr>
              <w:spacing w:after="30" w:before="30" w:line="270"/>
            </w:pPr>
            <w:r>
              <w:rPr>
                <w:sz w:val="19"/>
                <w:szCs w:val="19"/>
              </w:rPr>
              <w:t xml:space="preserve">Yes</w:t>
            </w:r>
          </w:p>
        </w:tc>
      </w:tr>
      <w:tr>
        <w:trPr>
          <w:cantSplit/>
        </w:trPr>
        <w:tc>
          <w:tcPr>
            <w:tcW w:type="dxa" w:w="3000"/>
            <w:tcBorders>
              <w:top w:val="single" w:color="BFBFBF" w:sz="4"/>
              <w:left w:val="single" w:color="BFBFBF" w:sz="4"/>
              <w:bottom w:val="single" w:color="BFBFBF" w:sz="4"/>
              <w:right w:val="single" w:color="BFBFBF" w:sz="4"/>
            </w:tcBorders>
            <w:tcMar>
              <w:top w:type="dxa" w:w="100"/>
              <w:left w:type="dxa" w:w="160"/>
              <w:bottom w:type="dxa" w:w="100"/>
              <w:right w:type="dxa" w:w="160"/>
            </w:tcMar>
          </w:tcPr>
          <w:p>
            <w:pPr>
              <w:spacing w:after="30" w:before="30" w:line="270"/>
            </w:pPr>
            <w:r>
              <w:rPr>
                <w:sz w:val="19"/>
                <w:szCs w:val="19"/>
              </w:rPr>
              <w:t xml:space="preserve">Recognise when a student is in distress and respond appropriately</w:t>
            </w:r>
          </w:p>
        </w:tc>
        <w:tc>
          <w:tcPr>
            <w:tcW w:type="dxa" w:w="3000"/>
            <w:tcBorders>
              <w:top w:val="single" w:color="BFBFBF" w:sz="4"/>
              <w:left w:val="single" w:color="BFBFBF" w:sz="4"/>
              <w:bottom w:val="single" w:color="BFBFBF" w:sz="4"/>
              <w:right w:val="single" w:color="BFBFBF" w:sz="4"/>
            </w:tcBorders>
            <w:tcMar>
              <w:top w:type="dxa" w:w="100"/>
              <w:left w:type="dxa" w:w="160"/>
              <w:bottom w:type="dxa" w:w="100"/>
              <w:right w:type="dxa" w:w="160"/>
            </w:tcMar>
          </w:tcPr>
          <w:p>
            <w:pPr>
              <w:spacing w:after="30" w:before="30" w:line="270"/>
            </w:pPr>
            <w:r>
              <w:rPr>
                <w:sz w:val="19"/>
                <w:szCs w:val="19"/>
              </w:rPr>
              <w:t xml:space="preserve">Yes</w:t>
            </w:r>
          </w:p>
        </w:tc>
        <w:tc>
          <w:tcPr>
            <w:tcW w:type="dxa" w:w="3026"/>
            <w:tcBorders>
              <w:top w:val="single" w:color="BFBFBF" w:sz="4"/>
              <w:left w:val="single" w:color="BFBFBF" w:sz="4"/>
              <w:bottom w:val="single" w:color="BFBFBF" w:sz="4"/>
              <w:right w:val="single" w:color="BFBFBF" w:sz="4"/>
            </w:tcBorders>
            <w:shd w:fill="E5F1F4" w:val="clear"/>
            <w:tcMar>
              <w:top w:type="dxa" w:w="100"/>
              <w:left w:type="dxa" w:w="160"/>
              <w:bottom w:type="dxa" w:w="100"/>
              <w:right w:type="dxa" w:w="160"/>
            </w:tcMar>
          </w:tcPr>
          <w:p>
            <w:pPr>
              <w:spacing w:after="30" w:before="30" w:line="270"/>
            </w:pPr>
            <w:r>
              <w:rPr>
                <w:sz w:val="19"/>
                <w:szCs w:val="19"/>
              </w:rPr>
              <w:t xml:space="preserve">Yes — with relationship history</w:t>
            </w:r>
          </w:p>
        </w:tc>
      </w:tr>
      <w:tr>
        <w:trPr>
          <w:cantSplit/>
        </w:trPr>
        <w:tc>
          <w:tcPr>
            <w:tcW w:type="dxa" w:w="3000"/>
            <w:tcBorders>
              <w:top w:val="single" w:color="BFBFBF" w:sz="4"/>
              <w:left w:val="single" w:color="BFBFBF" w:sz="4"/>
              <w:bottom w:val="single" w:color="BFBFBF" w:sz="4"/>
              <w:right w:val="single" w:color="BFBFBF" w:sz="4"/>
            </w:tcBorders>
            <w:tcMar>
              <w:top w:type="dxa" w:w="100"/>
              <w:left w:type="dxa" w:w="160"/>
              <w:bottom w:type="dxa" w:w="100"/>
              <w:right w:type="dxa" w:w="160"/>
            </w:tcMar>
          </w:tcPr>
          <w:p>
            <w:pPr>
              <w:spacing w:after="30" w:before="30" w:line="270"/>
            </w:pPr>
            <w:r>
              <w:rPr>
                <w:sz w:val="19"/>
                <w:szCs w:val="19"/>
              </w:rPr>
              <w:t xml:space="preserve">Reach out to students proactively before deadlines or problems</w:t>
            </w:r>
          </w:p>
        </w:tc>
        <w:tc>
          <w:tcPr>
            <w:tcW w:type="dxa" w:w="3000"/>
            <w:tcBorders>
              <w:top w:val="single" w:color="BFBFBF" w:sz="4"/>
              <w:left w:val="single" w:color="BFBFBF" w:sz="4"/>
              <w:bottom w:val="single" w:color="BFBFBF" w:sz="4"/>
              <w:right w:val="single" w:color="BFBFBF" w:sz="4"/>
            </w:tcBorders>
            <w:tcMar>
              <w:top w:type="dxa" w:w="100"/>
              <w:left w:type="dxa" w:w="160"/>
              <w:bottom w:type="dxa" w:w="100"/>
              <w:right w:type="dxa" w:w="160"/>
            </w:tcMar>
          </w:tcPr>
          <w:p>
            <w:pPr>
              <w:spacing w:after="30" w:before="30" w:line="270"/>
            </w:pPr>
            <w:r>
              <w:rPr>
                <w:sz w:val="19"/>
                <w:szCs w:val="19"/>
              </w:rPr>
              <w:t xml:space="preserve">Limited (case-by-case)</w:t>
            </w:r>
          </w:p>
        </w:tc>
        <w:tc>
          <w:tcPr>
            <w:tcW w:type="dxa" w:w="3026"/>
            <w:tcBorders>
              <w:top w:val="single" w:color="BFBFBF" w:sz="4"/>
              <w:left w:val="single" w:color="BFBFBF" w:sz="4"/>
              <w:bottom w:val="single" w:color="BFBFBF" w:sz="4"/>
              <w:right w:val="single" w:color="BFBFBF" w:sz="4"/>
            </w:tcBorders>
            <w:shd w:fill="E5F1F4" w:val="clear"/>
            <w:tcMar>
              <w:top w:type="dxa" w:w="100"/>
              <w:left w:type="dxa" w:w="160"/>
              <w:bottom w:type="dxa" w:w="100"/>
              <w:right w:type="dxa" w:w="160"/>
            </w:tcMar>
          </w:tcPr>
          <w:p>
            <w:pPr>
              <w:spacing w:after="30" w:before="30" w:line="270"/>
            </w:pPr>
            <w:r>
              <w:rPr>
                <w:sz w:val="19"/>
                <w:szCs w:val="19"/>
              </w:rPr>
              <w:t xml:space="preserve">Yes — across all the patterns we agree on</w:t>
            </w:r>
          </w:p>
        </w:tc>
      </w:tr>
      <w:tr>
        <w:trPr>
          <w:cantSplit/>
        </w:trPr>
        <w:tc>
          <w:tcPr>
            <w:tcW w:type="dxa" w:w="3000"/>
            <w:tcBorders>
              <w:top w:val="single" w:color="BFBFBF" w:sz="4"/>
              <w:left w:val="single" w:color="BFBFBF" w:sz="4"/>
              <w:bottom w:val="single" w:color="BFBFBF" w:sz="4"/>
              <w:right w:val="single" w:color="BFBFBF" w:sz="4"/>
            </w:tcBorders>
            <w:tcMar>
              <w:top w:type="dxa" w:w="100"/>
              <w:left w:type="dxa" w:w="160"/>
              <w:bottom w:type="dxa" w:w="100"/>
              <w:right w:type="dxa" w:w="160"/>
            </w:tcMar>
          </w:tcPr>
          <w:p>
            <w:pPr>
              <w:spacing w:after="30" w:before="30" w:line="270"/>
            </w:pPr>
            <w:r>
              <w:rPr>
                <w:sz w:val="19"/>
                <w:szCs w:val="19"/>
              </w:rPr>
              <w:t xml:space="preserve">Adapt to who the student is (international, regional, online, mature, etc.)</w:t>
            </w:r>
          </w:p>
        </w:tc>
        <w:tc>
          <w:tcPr>
            <w:tcW w:type="dxa" w:w="3000"/>
            <w:tcBorders>
              <w:top w:val="single" w:color="BFBFBF" w:sz="4"/>
              <w:left w:val="single" w:color="BFBFBF" w:sz="4"/>
              <w:bottom w:val="single" w:color="BFBFBF" w:sz="4"/>
              <w:right w:val="single" w:color="BFBFBF" w:sz="4"/>
            </w:tcBorders>
            <w:tcMar>
              <w:top w:type="dxa" w:w="100"/>
              <w:left w:type="dxa" w:w="160"/>
              <w:bottom w:type="dxa" w:w="100"/>
              <w:right w:type="dxa" w:w="160"/>
            </w:tcMar>
          </w:tcPr>
          <w:p>
            <w:pPr>
              <w:spacing w:after="30" w:before="30" w:line="270"/>
            </w:pPr>
            <w:r>
              <w:rPr>
                <w:sz w:val="19"/>
                <w:szCs w:val="19"/>
              </w:rPr>
              <w:t xml:space="preserve">Basic</w:t>
            </w:r>
          </w:p>
        </w:tc>
        <w:tc>
          <w:tcPr>
            <w:tcW w:type="dxa" w:w="3026"/>
            <w:tcBorders>
              <w:top w:val="single" w:color="BFBFBF" w:sz="4"/>
              <w:left w:val="single" w:color="BFBFBF" w:sz="4"/>
              <w:bottom w:val="single" w:color="BFBFBF" w:sz="4"/>
              <w:right w:val="single" w:color="BFBFBF" w:sz="4"/>
            </w:tcBorders>
            <w:shd w:fill="E5F1F4" w:val="clear"/>
            <w:tcMar>
              <w:top w:type="dxa" w:w="100"/>
              <w:left w:type="dxa" w:w="160"/>
              <w:bottom w:type="dxa" w:w="100"/>
              <w:right w:type="dxa" w:w="160"/>
            </w:tcMar>
          </w:tcPr>
          <w:p>
            <w:pPr>
              <w:spacing w:after="30" w:before="30" w:line="270"/>
            </w:pPr>
            <w:r>
              <w:rPr>
                <w:sz w:val="19"/>
                <w:szCs w:val="19"/>
              </w:rPr>
              <w:t xml:space="preserve">Rich — informed by the journey overlays</w:t>
            </w:r>
          </w:p>
        </w:tc>
      </w:tr>
      <w:tr>
        <w:trPr>
          <w:cantSplit/>
        </w:trPr>
        <w:tc>
          <w:tcPr>
            <w:tcW w:type="dxa" w:w="3000"/>
            <w:tcBorders>
              <w:top w:val="single" w:color="BFBFBF" w:sz="4"/>
              <w:left w:val="single" w:color="BFBFBF" w:sz="4"/>
              <w:bottom w:val="single" w:color="BFBFBF" w:sz="4"/>
              <w:right w:val="single" w:color="BFBFBF" w:sz="4"/>
            </w:tcBorders>
            <w:tcMar>
              <w:top w:type="dxa" w:w="100"/>
              <w:left w:type="dxa" w:w="160"/>
              <w:bottom w:type="dxa" w:w="100"/>
              <w:right w:type="dxa" w:w="160"/>
            </w:tcMar>
          </w:tcPr>
          <w:p>
            <w:pPr>
              <w:spacing w:after="30" w:before="30" w:line="270"/>
            </w:pPr>
            <w:r>
              <w:rPr>
                <w:sz w:val="19"/>
                <w:szCs w:val="19"/>
              </w:rPr>
              <w:t xml:space="preserve">Remember the student across conversations</w:t>
            </w:r>
          </w:p>
        </w:tc>
        <w:tc>
          <w:tcPr>
            <w:tcW w:type="dxa" w:w="3000"/>
            <w:tcBorders>
              <w:top w:val="single" w:color="BFBFBF" w:sz="4"/>
              <w:left w:val="single" w:color="BFBFBF" w:sz="4"/>
              <w:bottom w:val="single" w:color="BFBFBF" w:sz="4"/>
              <w:right w:val="single" w:color="BFBFBF" w:sz="4"/>
            </w:tcBorders>
            <w:tcMar>
              <w:top w:type="dxa" w:w="100"/>
              <w:left w:type="dxa" w:w="160"/>
              <w:bottom w:type="dxa" w:w="100"/>
              <w:right w:type="dxa" w:w="160"/>
            </w:tcMar>
          </w:tcPr>
          <w:p>
            <w:pPr>
              <w:spacing w:after="30" w:before="30" w:line="270"/>
            </w:pPr>
            <w:r>
              <w:rPr>
                <w:sz w:val="19"/>
                <w:szCs w:val="19"/>
              </w:rPr>
              <w:t xml:space="preserve">No — each chat starts fresh</w:t>
            </w:r>
          </w:p>
        </w:tc>
        <w:tc>
          <w:tcPr>
            <w:tcW w:type="dxa" w:w="3026"/>
            <w:tcBorders>
              <w:top w:val="single" w:color="BFBFBF" w:sz="4"/>
              <w:left w:val="single" w:color="BFBFBF" w:sz="4"/>
              <w:bottom w:val="single" w:color="BFBFBF" w:sz="4"/>
              <w:right w:val="single" w:color="BFBFBF" w:sz="4"/>
            </w:tcBorders>
            <w:shd w:fill="E5F1F4" w:val="clear"/>
            <w:tcMar>
              <w:top w:type="dxa" w:w="100"/>
              <w:left w:type="dxa" w:w="160"/>
              <w:bottom w:type="dxa" w:w="100"/>
              <w:right w:type="dxa" w:w="160"/>
            </w:tcMar>
          </w:tcPr>
          <w:p>
            <w:pPr>
              <w:spacing w:after="30" w:before="30" w:line="270"/>
            </w:pPr>
            <w:r>
              <w:rPr>
                <w:sz w:val="19"/>
                <w:szCs w:val="19"/>
              </w:rPr>
              <w:t xml:space="preserve">Yes — across the whole student relationship</w:t>
            </w:r>
          </w:p>
        </w:tc>
      </w:tr>
    </w:tbl>
    <w:p>
      <w:pPr>
        <w:pStyle w:val="Heading1"/>
        <w:spacing w:after="100" w:before="280"/>
      </w:pPr>
      <w:r>
        <w:rPr>
          <w:rFonts w:ascii="Arial" w:cs="Arial" w:eastAsia="Arial" w:hAnsi="Arial"/>
          <w:b/>
          <w:bCs/>
          <w:color w:val="1F2A44"/>
          <w:sz w:val="32"/>
          <w:szCs w:val="32"/>
        </w:rPr>
        <w:t xml:space="preserve">What we’re asking you to validate</w:t>
      </w:r>
    </w:p>
    <w:p>
      <w:pPr>
        <w:pStyle w:val="ListParagraph"/>
        <w:numPr>
          <w:ilvl w:val="0"/>
          <w:numId w:val="2"/>
        </w:numPr>
        <w:spacing w:after="40" w:before="40" w:line="290"/>
      </w:pPr>
      <w:r>
        <w:rPr>
          <w:sz w:val="22"/>
          <w:szCs w:val="22"/>
        </w:rPr>
        <w:t xml:space="preserve">Does the six-conversation-types model match how you see students engaging with the University? Does it leave anything out?</w:t>
      </w:r>
    </w:p>
    <w:p>
      <w:pPr>
        <w:pStyle w:val="ListParagraph"/>
        <w:numPr>
          <w:ilvl w:val="0"/>
          <w:numId w:val="2"/>
        </w:numPr>
        <w:spacing w:after="40" w:before="40" w:line="290"/>
      </w:pPr>
      <w:r>
        <w:rPr>
          <w:sz w:val="22"/>
          <w:szCs w:val="22"/>
        </w:rPr>
        <w:t xml:space="preserve">“Ask what’s needed before answering” as the central behavioural change — right call?</w:t>
      </w:r>
    </w:p>
    <w:p>
      <w:pPr>
        <w:pStyle w:val="ListParagraph"/>
        <w:numPr>
          <w:ilvl w:val="0"/>
          <w:numId w:val="2"/>
        </w:numPr>
        <w:spacing w:after="40" w:before="40" w:line="290"/>
      </w:pPr>
      <w:r>
        <w:rPr>
          <w:sz w:val="22"/>
          <w:szCs w:val="22"/>
        </w:rPr>
        <w:t xml:space="preserve">Where to draw the line between launch and follow-up release on proactive capability. The reactive conversation types ship at launch; whether any specific proactive nudges are brought into launch scope is a scope-vs-impact decision (SSAF is the clearest candidate).</w:t>
      </w:r>
    </w:p>
    <w:p>
      <w:pPr>
        <w:pStyle w:val="ListParagraph"/>
        <w:numPr>
          <w:ilvl w:val="0"/>
          <w:numId w:val="2"/>
        </w:numPr>
        <w:spacing w:after="40" w:before="40" w:line="290"/>
      </w:pPr>
      <w:r>
        <w:rPr>
          <w:sz w:val="22"/>
          <w:szCs w:val="22"/>
        </w:rPr>
        <w:t xml:space="preserve">Are the personas and journey stages from the Journeys work the right basis for tailoring conversations to who the student is, or are there other lenses we should add?</w:t>
      </w:r>
    </w:p>
    <w:p>
      <w:pPr>
        <w:pStyle w:val="ListParagraph"/>
        <w:numPr>
          <w:ilvl w:val="0"/>
          <w:numId w:val="2"/>
        </w:numPr>
        <w:spacing w:after="40" w:before="40" w:line="290"/>
      </w:pPr>
      <w:r>
        <w:rPr>
          <w:sz w:val="22"/>
          <w:szCs w:val="22"/>
        </w:rPr>
        <w:t xml:space="preserve">“Relationship-bounded” rather than “session-bounded” conversations as the next stage of the assistant. Does this match the personalised-assistant vision the leadership group has been describing? Is this what “self-serving” means?</w:t>
      </w:r>
    </w:p>
    <w:p>
      <w:pPr>
        <w:pBdr>
          <w:top w:val="single" w:color="BFBFBF" w:sz="6" w:space="6"/>
        </w:pBdr>
        <w:spacing w:after="0" w:before="200"/>
      </w:pPr>
      <w:r>
        <w:rPr>
          <w:rFonts w:ascii="Arial" w:cs="Arial" w:eastAsia="Arial" w:hAnsi="Arial"/>
          <w:i/>
          <w:iCs/>
          <w:color w:val="595959"/>
          <w:sz w:val="16"/>
          <w:szCs w:val="16"/>
        </w:rPr>
        <w:t xml:space="preserve">Source basis: Komosion Journeys output (17 Oct 2025) and the broader Charlie replacement programme.</w:t>
      </w:r>
    </w:p>
    <w:sectPr>
      <w:pgSz w:w="11906" w:h="16838" w:orient="portrait"/>
      <w:pgMar w:top="144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Arial" w:cs="Arial" w:eastAsia="Arial" w:hAnsi="Arial"/>
      <w:b/>
      <w:bCs/>
      <w:color w:val="1F2A44"/>
      <w:sz w:val="32"/>
      <w:szCs w:val="32"/>
    </w:rPr>
  </w:style>
  <w:style w:type="paragraph" w:styleId="Heading2">
    <w:name w:val="Heading 2"/>
    <w:basedOn w:val="Normal"/>
    <w:next w:val="Normal"/>
    <w:qFormat/>
    <w:pPr>
      <w:spacing w:after="60" w:before="140"/>
      <w:outlineLvl w:val="1"/>
    </w:pPr>
    <w:rPr>
      <w:rFonts w:ascii="Arial" w:cs="Arial" w:eastAsia="Arial" w:hAnsi="Arial"/>
      <w:b/>
      <w:bCs/>
      <w:color w:val="1F2A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Charlie Replacement — Workshop Briefing</dc:title>
  <dc:creator>La Trobe University</dc:creator>
  <cp:lastModifiedBy>Un-named</cp:lastModifiedBy>
  <cp:revision>1</cp:revision>
  <dcterms:created xsi:type="dcterms:W3CDTF">2026-05-08T03:57:32.385Z</dcterms:created>
  <dcterms:modified xsi:type="dcterms:W3CDTF">2026-05-08T03:57:32.386Z</dcterms:modified>
</cp:coreProperties>
</file>

<file path=docProps/custom.xml><?xml version="1.0" encoding="utf-8"?>
<Properties xmlns="http://schemas.openxmlformats.org/officeDocument/2006/custom-properties" xmlns:vt="http://schemas.openxmlformats.org/officeDocument/2006/docPropsVTypes"/>
</file>