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cs="宋体"/>
          <w:b/>
          <w:bCs/>
          <w:color w:val="231F20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231F20"/>
          <w:kern w:val="0"/>
          <w:sz w:val="32"/>
          <w:szCs w:val="32"/>
          <w:lang w:val="en-US" w:eastAsia="zh-CN" w:bidi="ar"/>
        </w:rPr>
        <w:t>《管理会计研究》杂志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cs="宋体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231F20"/>
          <w:kern w:val="0"/>
          <w:sz w:val="32"/>
          <w:szCs w:val="32"/>
          <w:lang w:val="en-US" w:eastAsia="zh-CN" w:bidi="ar"/>
        </w:rPr>
        <w:t>订阅单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 xml:space="preserve">《管理会计研究》(国内刊号CN44-1740/F)是一本以管理会计理论和实践创新为基础，专注数字技术驱动业财融合、业务转型的发展趋势，用案例启迪管理智慧的新锐权威学术期刊。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cs="Arial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《管理会计研究》杂志编委、专家委是由对外经贸大学国际商学院汤谷良教授领衔的超过 60名国内外管理会计知名教授、中央企业和国内知名企业的总会计师和财务总监构成。财政部会计司、工信部财务司、国资委财务监管局等领导多次在杂志发表文章，曾被多家央企总会计师、行政事业单位将《管理会计研究》杂志作为内部学习教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525" w:leftChars="-250" w:right="-525" w:rightChars="-250" w:firstLine="480"/>
        <w:textAlignment w:val="auto"/>
        <w:rPr>
          <w:rFonts w:hint="eastAsia" w:ascii="宋体" w:hAnsi="宋体" w:cs="Arial"/>
          <w:color w:val="000000"/>
          <w:sz w:val="28"/>
          <w:szCs w:val="28"/>
          <w:lang w:val="en-US" w:eastAsia="zh-CN"/>
        </w:rPr>
      </w:pPr>
    </w:p>
    <w:p>
      <w:pPr>
        <w:spacing w:line="360" w:lineRule="auto"/>
        <w:ind w:left="-525" w:leftChars="-250" w:right="-525" w:rightChars="-250" w:firstLine="480"/>
        <w:jc w:val="center"/>
        <w:rPr>
          <w:rFonts w:hint="eastAsia" w:ascii="宋体" w:hAnsi="宋体" w:cs="Arial"/>
          <w:color w:val="000000"/>
          <w:sz w:val="24"/>
          <w:szCs w:val="2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4005" cy="2211070"/>
            <wp:effectExtent l="0" t="0" r="10795" b="13970"/>
            <wp:docPr id="2" name="图片 2" descr="C:\Users\饶金源\Pictures\整体封面.jpg整体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饶金源\Pictures\整体封面.jpg整体封面"/>
                    <pic:cNvPicPr>
                      <a:picLocks noChangeAspect="1"/>
                    </pic:cNvPicPr>
                  </pic:nvPicPr>
                  <pic:blipFill>
                    <a:blip r:embed="rId6"/>
                    <a:srcRect b="22051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525" w:leftChars="-250" w:right="-525" w:rightChars="-250" w:firstLine="413" w:firstLineChars="19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出版日期：</w:t>
      </w:r>
      <w:r>
        <w:rPr>
          <w:rFonts w:hint="eastAsia" w:ascii="宋体" w:hAnsi="宋体"/>
          <w:szCs w:val="21"/>
        </w:rPr>
        <w:t>单</w:t>
      </w:r>
      <w:r>
        <w:rPr>
          <w:rFonts w:ascii="宋体" w:hAnsi="宋体"/>
          <w:szCs w:val="21"/>
        </w:rPr>
        <w:t>月</w:t>
      </w:r>
      <w:r>
        <w:rPr>
          <w:rFonts w:hint="eastAsia" w:ascii="宋体" w:hAnsi="宋体"/>
          <w:szCs w:val="21"/>
        </w:rPr>
        <w:t>28日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快递投递</w:t>
      </w:r>
    </w:p>
    <w:p>
      <w:pPr>
        <w:spacing w:line="240" w:lineRule="auto"/>
        <w:ind w:left="-525" w:leftChars="-250" w:right="-525" w:rightChars="-250" w:firstLine="420" w:firstLineChars="200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/>
          <w:szCs w:val="21"/>
        </w:rPr>
        <w:t>定价：</w:t>
      </w:r>
      <w:r>
        <w:rPr>
          <w:rFonts w:hint="eastAsia" w:ascii="宋体" w:hAnsi="宋体"/>
          <w:szCs w:val="21"/>
        </w:rPr>
        <w:t>50</w:t>
      </w:r>
      <w:r>
        <w:rPr>
          <w:rFonts w:ascii="宋体" w:hAnsi="宋体"/>
          <w:szCs w:val="21"/>
        </w:rPr>
        <w:t>元/期</w:t>
      </w:r>
      <w:r>
        <w:rPr>
          <w:rFonts w:hint="eastAsia" w:ascii="宋体" w:hAnsi="宋体"/>
          <w:szCs w:val="21"/>
        </w:rPr>
        <w:t>（人民币）</w:t>
      </w:r>
      <w:r>
        <w:rPr>
          <w:rFonts w:hint="eastAsia" w:ascii="宋体" w:hAnsi="宋体"/>
          <w:szCs w:val="21"/>
          <w:lang w:val="en-US" w:eastAsia="zh-CN"/>
        </w:rPr>
        <w:t xml:space="preserve">       </w:t>
      </w:r>
      <w:r>
        <w:rPr>
          <w:rFonts w:ascii="宋体" w:hAnsi="宋体"/>
          <w:szCs w:val="21"/>
        </w:rPr>
        <w:t>全年</w:t>
      </w:r>
      <w:r>
        <w:rPr>
          <w:rFonts w:hint="eastAsia" w:ascii="宋体" w:hAnsi="宋体"/>
          <w:b/>
          <w:bCs/>
          <w:szCs w:val="21"/>
        </w:rPr>
        <w:t>6</w:t>
      </w:r>
      <w:r>
        <w:rPr>
          <w:rFonts w:ascii="宋体" w:hAnsi="宋体"/>
          <w:szCs w:val="21"/>
        </w:rPr>
        <w:t>期</w:t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300元/</w:t>
      </w:r>
      <w:r>
        <w:rPr>
          <w:rFonts w:hint="eastAsia" w:ascii="宋体" w:hAnsi="宋体"/>
          <w:szCs w:val="21"/>
          <w:lang w:val="en-US" w:eastAsia="zh-CN"/>
        </w:rPr>
        <w:t>年·套</w:t>
      </w:r>
    </w:p>
    <w:p>
      <w:pPr>
        <w:spacing w:line="360" w:lineRule="auto"/>
        <w:ind w:left="-525" w:leftChars="-250" w:right="-525" w:rightChars="-250" w:firstLine="422" w:firstLineChars="200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/>
          <w:b/>
          <w:bCs/>
          <w:szCs w:val="21"/>
        </w:rPr>
        <w:t>订阅</w:t>
      </w:r>
      <w:r>
        <w:rPr>
          <w:rFonts w:hint="eastAsia" w:ascii="宋体" w:hAnsi="宋体"/>
          <w:b/>
          <w:bCs/>
          <w:szCs w:val="21"/>
        </w:rPr>
        <w:t>信息</w:t>
      </w:r>
      <w:r>
        <w:rPr>
          <w:rFonts w:ascii="宋体" w:hAnsi="宋体"/>
          <w:b/>
          <w:bCs/>
          <w:szCs w:val="21"/>
        </w:rPr>
        <w:t>：</w:t>
      </w:r>
    </w:p>
    <w:tbl>
      <w:tblPr>
        <w:tblStyle w:val="4"/>
        <w:tblpPr w:leftFromText="180" w:rightFromText="180" w:vertAnchor="text" w:horzAnchor="page" w:tblpX="1715" w:tblpY="32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083"/>
        <w:gridCol w:w="1093"/>
        <w:gridCol w:w="1033"/>
        <w:gridCol w:w="1440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订阅周期</w:t>
            </w:r>
          </w:p>
        </w:tc>
        <w:tc>
          <w:tcPr>
            <w:tcW w:w="2083" w:type="dxa"/>
          </w:tcPr>
          <w:p>
            <w:pPr>
              <w:spacing w:line="314" w:lineRule="exact"/>
              <w:ind w:right="-525" w:rightChars="-250"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2021年1-6期</w:t>
            </w:r>
          </w:p>
        </w:tc>
        <w:tc>
          <w:tcPr>
            <w:tcW w:w="1093" w:type="dxa"/>
          </w:tcPr>
          <w:p>
            <w:pPr>
              <w:spacing w:line="314" w:lineRule="exact"/>
              <w:ind w:right="-525" w:rightChars="-25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订阅套数</w:t>
            </w:r>
          </w:p>
        </w:tc>
        <w:tc>
          <w:tcPr>
            <w:tcW w:w="1033" w:type="dxa"/>
          </w:tcPr>
          <w:p>
            <w:pPr>
              <w:spacing w:line="314" w:lineRule="exact"/>
              <w:ind w:right="-525" w:rightChars="-250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spacing w:line="314" w:lineRule="exact"/>
              <w:ind w:right="-525" w:rightChars="-25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总金额（元）</w:t>
            </w:r>
          </w:p>
        </w:tc>
        <w:tc>
          <w:tcPr>
            <w:tcW w:w="1411" w:type="dxa"/>
          </w:tcPr>
          <w:p>
            <w:pPr>
              <w:spacing w:line="314" w:lineRule="exact"/>
              <w:ind w:right="-525" w:rightChars="-250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订阅人姓名</w:t>
            </w:r>
          </w:p>
        </w:tc>
        <w:tc>
          <w:tcPr>
            <w:tcW w:w="3176" w:type="dxa"/>
            <w:gridSpan w:val="2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  <w:tc>
          <w:tcPr>
            <w:tcW w:w="1033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</w:t>
            </w:r>
          </w:p>
        </w:tc>
        <w:tc>
          <w:tcPr>
            <w:tcW w:w="2851" w:type="dxa"/>
            <w:gridSpan w:val="2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   位</w:t>
            </w:r>
          </w:p>
        </w:tc>
        <w:tc>
          <w:tcPr>
            <w:tcW w:w="7060" w:type="dxa"/>
            <w:gridSpan w:val="5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   址</w:t>
            </w:r>
          </w:p>
        </w:tc>
        <w:tc>
          <w:tcPr>
            <w:tcW w:w="7060" w:type="dxa"/>
            <w:gridSpan w:val="5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订阅联系人</w:t>
            </w:r>
          </w:p>
        </w:tc>
        <w:tc>
          <w:tcPr>
            <w:tcW w:w="3176" w:type="dxa"/>
            <w:gridSpan w:val="2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  <w:tc>
          <w:tcPr>
            <w:tcW w:w="1033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  话</w:t>
            </w:r>
          </w:p>
        </w:tc>
        <w:tc>
          <w:tcPr>
            <w:tcW w:w="2851" w:type="dxa"/>
            <w:gridSpan w:val="2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8522" w:type="dxa"/>
            <w:gridSpan w:val="6"/>
            <w:tcBorders>
              <w:left w:val="nil"/>
            </w:tcBorders>
          </w:tcPr>
          <w:p>
            <w:pPr>
              <w:rPr>
                <w:sz w:val="11"/>
                <w:szCs w:val="11"/>
                <w:highlight w:val="lightGray"/>
                <w:shd w:val="clear" w:color="FFFFFF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开票信息</w:t>
            </w:r>
          </w:p>
        </w:tc>
        <w:tc>
          <w:tcPr>
            <w:tcW w:w="7060" w:type="dxa"/>
            <w:gridSpan w:val="5"/>
          </w:tcPr>
          <w:p>
            <w:pPr>
              <w:pStyle w:val="7"/>
              <w:numPr>
                <w:ilvl w:val="0"/>
                <w:numId w:val="1"/>
              </w:numPr>
              <w:spacing w:line="314" w:lineRule="exact"/>
              <w:ind w:right="-525" w:rightChars="-25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普票   </w:t>
            </w:r>
            <w:r>
              <w:rPr>
                <w:rFonts w:hint="eastAsia"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</w:t>
            </w:r>
          </w:p>
        </w:tc>
        <w:tc>
          <w:tcPr>
            <w:tcW w:w="3176" w:type="dxa"/>
            <w:gridSpan w:val="2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  <w:tc>
          <w:tcPr>
            <w:tcW w:w="1033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税  号</w:t>
            </w:r>
          </w:p>
        </w:tc>
        <w:tc>
          <w:tcPr>
            <w:tcW w:w="2851" w:type="dxa"/>
            <w:gridSpan w:val="2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地址、电话</w:t>
            </w:r>
          </w:p>
        </w:tc>
        <w:tc>
          <w:tcPr>
            <w:tcW w:w="7060" w:type="dxa"/>
            <w:gridSpan w:val="5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开户行、账号</w:t>
            </w:r>
          </w:p>
        </w:tc>
        <w:tc>
          <w:tcPr>
            <w:tcW w:w="7060" w:type="dxa"/>
            <w:gridSpan w:val="5"/>
          </w:tcPr>
          <w:p>
            <w:pPr>
              <w:spacing w:line="314" w:lineRule="exact"/>
              <w:ind w:right="-525" w:rightChars="-250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ind w:right="-525" w:rightChars="-25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付款信息：</w:t>
      </w:r>
    </w:p>
    <w:p>
      <w:pPr>
        <w:spacing w:line="314" w:lineRule="exact"/>
        <w:ind w:left="-525" w:leftChars="-250" w:right="-525" w:rightChars="-25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户</w:t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ascii="宋体" w:hAnsi="宋体"/>
          <w:szCs w:val="21"/>
        </w:rPr>
        <w:t>名：</w:t>
      </w:r>
      <w:r>
        <w:rPr>
          <w:rFonts w:hint="eastAsia" w:ascii="宋体" w:hAnsi="宋体"/>
          <w:szCs w:val="21"/>
        </w:rPr>
        <w:t>北京元年诺亚舟咨询有限公司</w:t>
      </w:r>
    </w:p>
    <w:p>
      <w:pPr>
        <w:spacing w:line="314" w:lineRule="exact"/>
        <w:ind w:left="-525" w:leftChars="-250" w:right="-525" w:rightChars="-25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开户银行：</w:t>
      </w:r>
      <w:r>
        <w:rPr>
          <w:rFonts w:hint="eastAsia" w:ascii="宋体" w:hAnsi="宋体"/>
          <w:szCs w:val="21"/>
        </w:rPr>
        <w:t>中国民生银行北京分行营业部</w:t>
      </w:r>
    </w:p>
    <w:p>
      <w:pPr>
        <w:spacing w:line="314" w:lineRule="exact"/>
        <w:ind w:left="-525" w:leftChars="-250" w:right="-525" w:rightChars="-250" w:firstLine="420" w:firstLineChars="200"/>
        <w:rPr>
          <w:rFonts w:hint="eastAsia" w:ascii="宋体" w:hAnsi="宋体" w:cs="Arial"/>
          <w:color w:val="000000"/>
          <w:sz w:val="24"/>
          <w:szCs w:val="24"/>
          <w:lang w:val="en-US" w:eastAsia="zh-CN"/>
        </w:rPr>
      </w:pPr>
      <w:r>
        <w:rPr>
          <w:rFonts w:ascii="宋体" w:hAnsi="宋体"/>
          <w:szCs w:val="21"/>
        </w:rPr>
        <w:t>帐</w:t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ascii="宋体" w:hAnsi="宋体"/>
          <w:szCs w:val="21"/>
        </w:rPr>
        <w:t>号：</w:t>
      </w:r>
      <w:r>
        <w:rPr>
          <w:rFonts w:hint="eastAsia" w:ascii="宋体" w:hAnsi="宋体"/>
          <w:szCs w:val="21"/>
        </w:rPr>
        <w:t>695181999</w:t>
      </w:r>
    </w:p>
    <w:p/>
    <w:sectPr>
      <w:headerReference r:id="rId3" w:type="default"/>
      <w:footerReference r:id="rId4" w:type="default"/>
      <w:pgSz w:w="11906" w:h="16838"/>
      <w:pgMar w:top="1246" w:right="1800" w:bottom="1246" w:left="1820" w:header="468" w:footer="13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right="-525" w:rightChars="-250"/>
      <w:jc w:val="center"/>
      <w:rPr>
        <w:rFonts w:hint="eastAsia" w:ascii="宋体" w:hAnsi="宋体" w:cs="Arial"/>
        <w:color w:val="000000"/>
        <w:sz w:val="18"/>
        <w:szCs w:val="18"/>
        <w:lang w:val="en-US" w:eastAsia="zh-CN"/>
      </w:rPr>
    </w:pPr>
    <w:r>
      <w:rPr>
        <w:rFonts w:hint="eastAsia" w:ascii="宋体" w:hAnsi="宋体" w:cs="Arial"/>
        <w:color w:val="000000"/>
        <w:sz w:val="18"/>
        <w:szCs w:val="18"/>
        <w:lang w:val="en-US" w:eastAsia="zh-CN"/>
      </w:rPr>
      <w:t>杂志运营中心：北京海淀区知春路68号领航科技大厦三层《管理会计研究》杂志</w:t>
    </w:r>
  </w:p>
  <w:p>
    <w:pPr>
      <w:spacing w:line="314" w:lineRule="exact"/>
      <w:ind w:left="-525" w:leftChars="-250" w:right="-525" w:rightChars="-250" w:firstLine="534" w:firstLineChars="297"/>
      <w:jc w:val="center"/>
      <w:rPr>
        <w:sz w:val="18"/>
        <w:szCs w:val="18"/>
      </w:rPr>
    </w:pPr>
    <w:r>
      <w:rPr>
        <w:rFonts w:hint="eastAsia" w:ascii="宋体" w:hAnsi="宋体" w:cs="Arial"/>
        <w:color w:val="000000"/>
        <w:sz w:val="18"/>
        <w:szCs w:val="18"/>
        <w:lang w:val="en-US" w:eastAsia="zh-CN"/>
      </w:rPr>
      <w:t>电    话：400-819-1255</w:t>
    </w:r>
    <w:r>
      <w:rPr>
        <w:rFonts w:hint="eastAsia" w:ascii="宋体" w:hAnsi="宋体" w:cs="Arial"/>
        <w:color w:val="000000"/>
        <w:sz w:val="18"/>
        <w:szCs w:val="18"/>
      </w:rPr>
      <w:t xml:space="preserve">    </w:t>
    </w:r>
    <w:r>
      <w:rPr>
        <w:rFonts w:hint="eastAsia" w:ascii="宋体" w:hAnsi="宋体" w:cs="Arial"/>
        <w:color w:val="000000"/>
        <w:sz w:val="18"/>
        <w:szCs w:val="18"/>
        <w:lang w:val="en-US" w:eastAsia="zh-CN"/>
      </w:rPr>
      <w:t xml:space="preserve">                       网址：</w:t>
    </w:r>
    <w:r>
      <w:rPr>
        <w:rFonts w:hint="eastAsia" w:ascii="宋体" w:hAnsi="宋体" w:cs="Arial"/>
        <w:color w:val="000000"/>
        <w:sz w:val="18"/>
        <w:szCs w:val="18"/>
        <w:lang w:val="en-US" w:eastAsia="zh-CN"/>
      </w:rPr>
      <w:fldChar w:fldCharType="begin"/>
    </w:r>
    <w:r>
      <w:rPr>
        <w:rFonts w:hint="eastAsia" w:ascii="宋体" w:hAnsi="宋体" w:cs="Arial"/>
        <w:color w:val="000000"/>
        <w:sz w:val="18"/>
        <w:szCs w:val="18"/>
        <w:lang w:val="en-US" w:eastAsia="zh-CN"/>
      </w:rPr>
      <w:instrText xml:space="preserve"> HYPERLINK "http://www.chinamas.cn" </w:instrText>
    </w:r>
    <w:r>
      <w:rPr>
        <w:rFonts w:hint="eastAsia" w:ascii="宋体" w:hAnsi="宋体" w:cs="Arial"/>
        <w:color w:val="000000"/>
        <w:sz w:val="18"/>
        <w:szCs w:val="18"/>
        <w:lang w:val="en-US" w:eastAsia="zh-CN"/>
      </w:rPr>
      <w:fldChar w:fldCharType="separate"/>
    </w:r>
    <w:r>
      <w:rPr>
        <w:rStyle w:val="6"/>
        <w:rFonts w:hint="eastAsia" w:ascii="宋体" w:hAnsi="宋体" w:cs="Arial"/>
        <w:color w:val="000000"/>
        <w:sz w:val="18"/>
        <w:szCs w:val="18"/>
        <w:lang w:val="en-US" w:eastAsia="zh-CN"/>
      </w:rPr>
      <w:t>www.chinamas.cn</w:t>
    </w:r>
    <w:r>
      <w:rPr>
        <w:rFonts w:hint="eastAsia" w:ascii="宋体" w:hAnsi="宋体" w:cs="Arial"/>
        <w:color w:val="000000"/>
        <w:sz w:val="18"/>
        <w:szCs w:val="18"/>
        <w:lang w:val="en-US"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6" w:space="0"/>
      </w:pBdr>
      <w:rPr>
        <w:rFonts w:hint="eastAsia" w:ascii="仿宋_GB2312" w:eastAsia="仿宋_GB2312"/>
      </w:rPr>
    </w:pPr>
    <w:r>
      <w:rPr>
        <w:rFonts w:hint="eastAsia" w:ascii="仿宋_GB2312" w:eastAsia="仿宋_GB231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4624705</wp:posOffset>
          </wp:positionH>
          <wp:positionV relativeFrom="paragraph">
            <wp:posOffset>-92710</wp:posOffset>
          </wp:positionV>
          <wp:extent cx="1007745" cy="320040"/>
          <wp:effectExtent l="0" t="0" r="13335" b="0"/>
          <wp:wrapNone/>
          <wp:docPr id="1" name="图片 1" descr="C:\Users\饶金源\Pictures\管理会计研究logov2.png管理会计研究logo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饶金源\Pictures\管理会计研究logov2.png管理会计研究logov2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7745" cy="3200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仿宋_GB2312" w:eastAsia="仿宋_GB2312"/>
      </w:rPr>
      <w:t xml:space="preserve">                                                                          </w:t>
    </w:r>
  </w:p>
  <w:p>
    <w:pPr>
      <w:pStyle w:val="2"/>
      <w:pBdr>
        <w:bottom w:val="single" w:color="auto" w:sz="6" w:space="0"/>
      </w:pBdr>
    </w:pPr>
    <w:r>
      <w:rPr>
        <w:rFonts w:hint="eastAsia" w:ascii="仿宋_GB2312" w:eastAsia="仿宋_GB2312"/>
      </w:rPr>
      <w:t xml:space="preserve">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5C3"/>
    <w:multiLevelType w:val="multilevel"/>
    <w:tmpl w:val="080675C3"/>
    <w:lvl w:ilvl="0" w:tentative="0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06AFA"/>
    <w:rsid w:val="14C0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"/>
    </w:tc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2020-10-12T08:54:00Z</dcterms:created>
  <dc:creator>城子1367185229</dc:creator>
  <cp:lastModifiedBy>城子1367185229</cp:lastModifiedBy>
  <dcterms:modified xsi:type="dcterms:W3CDTF">2020-10-12T08:58:11Z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