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2D6A4F"/>
          <w:spacing w:val="30"/>
          <w:sz w:val="24"/>
          <w:szCs w:val="24"/>
        </w:rPr>
        <w:t xml:space="preserve">JO'TALI  ×  TOSTAN  2026</w:t>
      </w:r>
    </w:p>
    <w:p>
      <w:pPr>
        <w:spacing w:before="400"/>
      </w:pPr>
    </w:p>
    <w:p>
      <w:pPr>
        <w:jc w:val="center"/>
      </w:pPr>
      <w:r>
        <w:rPr>
          <w:b/>
          <w:bCs/>
          <w:color w:val="1B4332"/>
          <w:sz w:val="56"/>
          <w:szCs w:val="56"/>
        </w:rPr>
        <w:t xml:space="preserve">Méthodologie de sélection</w:t>
      </w:r>
    </w:p>
    <w:p>
      <w:pPr>
        <w:spacing w:after="400"/>
        <w:jc w:val="center"/>
      </w:pPr>
      <w:r>
        <w:rPr>
          <w:b/>
          <w:bCs/>
          <w:color w:val="1B4332"/>
          <w:sz w:val="56"/>
          <w:szCs w:val="56"/>
        </w:rPr>
        <w:t xml:space="preserve">des communautés pilotes</w:t>
      </w:r>
    </w:p>
    <w:p>
      <w:pPr>
        <w:spacing w:after="1200" w:before="300"/>
        <w:jc w:val="center"/>
      </w:pPr>
      <w:r>
        <w:rPr>
          <w:i/>
          <w:iCs/>
          <w:color w:val="595959"/>
          <w:sz w:val="24"/>
          <w:szCs w:val="24"/>
        </w:rPr>
        <w:t xml:space="preserve">Comment 300 communautés ont été choisies, dans 3 zones du Sénégal, pour porter l'esprit des Jeux Olympiques de la Jeunesse — Dakar 2026.</w:t>
      </w:r>
    </w:p>
    <w:tbl>
      <w:tblPr>
        <w:tblW w:type="dxa" w:w="9360"/>
        <w:tblBorders>
          <w:top w:val="none"/>
          <w:left w:val="none"/>
          <w:bottom w:val="none"/>
          <w:right w:val="none"/>
          <w:insideH w:val="none"/>
          <w:insideV w:val="none"/>
        </w:tblBorders>
      </w:tblPr>
      <w:tblGrid>
        <w:gridCol w:w="3120"/>
        <w:gridCol w:w="3120"/>
        <w:gridCol w:w="3120"/>
      </w:tblGrid>
      <w:tr>
        <w:tc>
          <w:tcPr>
            <w:tcW w:type="dxa" w:w="3120"/>
            <w:tcMar>
              <w:top w:type="dxa" w:w="100"/>
              <w:left w:type="dxa" w:w="140"/>
              <w:bottom w:type="dxa" w:w="100"/>
              <w:right w:type="dxa" w:w="140"/>
            </w:tcMar>
            <w:vAlign w:val="center"/>
          </w:tcPr>
          <w:p>
            <w:pPr>
              <w:jc w:val="center"/>
            </w:pPr>
            <w:r>
              <w:rPr>
                <w:b/>
                <w:bCs/>
                <w:color w:val="1B4332"/>
                <w:sz w:val="32"/>
                <w:szCs w:val="32"/>
              </w:rPr>
              <w:t xml:space="preserve">300</w:t>
            </w:r>
          </w:p>
        </w:tc>
        <w:tc>
          <w:tcPr>
            <w:tcW w:type="dxa" w:w="3120"/>
            <w:tcMar>
              <w:top w:type="dxa" w:w="100"/>
              <w:left w:type="dxa" w:w="140"/>
              <w:bottom w:type="dxa" w:w="100"/>
              <w:right w:type="dxa" w:w="140"/>
            </w:tcMar>
            <w:vAlign w:val="center"/>
          </w:tcPr>
          <w:p>
            <w:pPr>
              <w:jc w:val="center"/>
            </w:pPr>
            <w:r>
              <w:rPr>
                <w:b/>
                <w:bCs/>
                <w:color w:val="1B4332"/>
                <w:sz w:val="32"/>
                <w:szCs w:val="32"/>
              </w:rPr>
              <w:t xml:space="preserve">3</w:t>
            </w:r>
          </w:p>
        </w:tc>
        <w:tc>
          <w:tcPr>
            <w:tcW w:type="dxa" w:w="3120"/>
            <w:tcMar>
              <w:top w:type="dxa" w:w="100"/>
              <w:left w:type="dxa" w:w="140"/>
              <w:bottom w:type="dxa" w:w="100"/>
              <w:right w:type="dxa" w:w="140"/>
            </w:tcMar>
            <w:vAlign w:val="center"/>
          </w:tcPr>
          <w:p>
            <w:pPr>
              <w:jc w:val="center"/>
            </w:pPr>
            <w:r>
              <w:rPr>
                <w:b/>
                <w:bCs/>
                <w:color w:val="1B4332"/>
                <w:sz w:val="32"/>
                <w:szCs w:val="32"/>
              </w:rPr>
              <w:t xml:space="preserve">91 219</w:t>
            </w:r>
          </w:p>
        </w:tc>
      </w:tr>
      <w:tr>
        <w:tc>
          <w:tcPr>
            <w:tcW w:type="dxa" w:w="3120"/>
            <w:tcMar>
              <w:top w:type="dxa" w:w="100"/>
              <w:left w:type="dxa" w:w="140"/>
              <w:bottom w:type="dxa" w:w="100"/>
              <w:right w:type="dxa" w:w="140"/>
            </w:tcMar>
            <w:vAlign w:val="center"/>
          </w:tcPr>
          <w:p>
            <w:pPr>
              <w:jc w:val="center"/>
            </w:pPr>
            <w:r>
              <w:rPr>
                <w:b w:val="false"/>
                <w:bCs w:val="false"/>
                <w:color w:val="595959"/>
                <w:sz w:val="16"/>
                <w:szCs w:val="16"/>
              </w:rPr>
              <w:t xml:space="preserve">COMMUNAUTÉS SÉLECTIONNÉES</w:t>
            </w:r>
          </w:p>
        </w:tc>
        <w:tc>
          <w:tcPr>
            <w:tcW w:type="dxa" w:w="3120"/>
            <w:tcMar>
              <w:top w:type="dxa" w:w="100"/>
              <w:left w:type="dxa" w:w="140"/>
              <w:bottom w:type="dxa" w:w="100"/>
              <w:right w:type="dxa" w:w="140"/>
            </w:tcMar>
            <w:vAlign w:val="center"/>
          </w:tcPr>
          <w:p>
            <w:pPr>
              <w:jc w:val="center"/>
            </w:pPr>
            <w:r>
              <w:rPr>
                <w:b w:val="false"/>
                <w:bCs w:val="false"/>
                <w:color w:val="595959"/>
                <w:sz w:val="16"/>
                <w:szCs w:val="16"/>
              </w:rPr>
              <w:t xml:space="preserve">ZONES D'INTERVENTION</w:t>
            </w:r>
          </w:p>
        </w:tc>
        <w:tc>
          <w:tcPr>
            <w:tcW w:type="dxa" w:w="3120"/>
            <w:tcMar>
              <w:top w:type="dxa" w:w="100"/>
              <w:left w:type="dxa" w:w="140"/>
              <w:bottom w:type="dxa" w:w="100"/>
              <w:right w:type="dxa" w:w="140"/>
            </w:tcMar>
            <w:vAlign w:val="center"/>
          </w:tcPr>
          <w:p>
            <w:pPr>
              <w:jc w:val="center"/>
            </w:pPr>
            <w:r>
              <w:rPr>
                <w:b w:val="false"/>
                <w:bCs w:val="false"/>
                <w:color w:val="595959"/>
                <w:sz w:val="16"/>
                <w:szCs w:val="16"/>
              </w:rPr>
              <w:t xml:space="preserve">JEUNES 15-35 ESTIMÉS</w:t>
            </w:r>
          </w:p>
        </w:tc>
      </w:tr>
    </w:tbl>
    <w:p>
      <w:r>
        <w:br w:type="page"/>
      </w:r>
    </w:p>
    <w:p>
      <w:pPr>
        <w:sectPr>
          <w:pgSz w:w="12240" w:h="15840" w:orient="portrait"/>
          <w:pgMar w:top="1440" w:right="1440" w:bottom="1440" w:left="1440" w:header="708" w:footer="708" w:gutter="0"/>
          <w:pgNumType/>
          <w:docGrid w:linePitch="360"/>
        </w:sectPr>
      </w:pPr>
    </w:p>
    <w:p>
      <w:pPr>
        <w:pStyle w:val="Heading1"/>
      </w:pPr>
      <w:r>
        <w:t xml:space="preserve">Table des matières</w:t>
      </w:r>
    </w:p>
    <w:sdt>
      <w:sdtPr>
        <w:alias w:val="Table des matière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Contexte et objectif</w:t>
      </w:r>
    </w:p>
    <w:p>
      <w:pPr>
        <w:spacing w:after="160" w:line="300"/>
      </w:pPr>
      <w:r>
        <w:t xml:space="preserve">Les Jeux Olympiques de la Jeunesse (JOJ) se tiendront à Dakar en 2026 — une première sur le continent africain. Cet événement représente une occasion unique de porter l'esprit olympique au-delà des sites officiels, jusque dans la vie quotidienne des jeunes Sénégalais.</w:t>
      </w:r>
    </w:p>
    <w:p>
      <w:pPr>
        <w:spacing w:after="160" w:line="300"/>
      </w:pPr>
      <w:r>
        <w:t xml:space="preserve">Le projet JO'TALI × Tostan vise précisément cela : ramener les Jeux dans les communautés, en organisant des compétitions sportives, des activités de dialogue et des programmes de leadership directement sur le terrain, dans des villages et localités qui, autrement, n'auraient aucun lien direct avec l'événement.</w:t>
      </w:r>
    </w:p>
    <w:p>
      <w:pPr>
        <w:spacing w:after="160" w:line="300"/>
      </w:pPr>
      <w:r>
        <w:t xml:space="preserve">Pour rendre ce projet opérationnel, Tostan s'est fixé un objectif clair : sélectionner 300 communautés pilotes, réparties dans plusieurs zones du Sénégal, qui bénéficieront en priorité de ces activités. Le présent document détaille la méthodologie qui a permis d'aboutir à cette sélection — les critères retenus, leur justification, et le résultat final.</w:t>
      </w:r>
    </w:p>
    <w:p>
      <w:pPr>
        <w:pBdr>
          <w:left w:val="single" w:color="1B4332" w:sz="18" w:space="12"/>
        </w:pBdr>
        <w:spacing w:after="200" w:before="200" w:line="300"/>
        <w:ind w:left="540" w:right="540"/>
      </w:pPr>
      <w:r>
        <w:rPr>
          <w:i/>
          <w:iCs/>
          <w:color w:val="2D6A4F"/>
          <w:sz w:val="22"/>
          <w:szCs w:val="22"/>
        </w:rPr>
        <w:t xml:space="preserve">« Ramener les Jeux dans les communautés » — c'est l'idée fondatrice qui a guidé chaque étape de cette démarche de sélection.</w:t>
      </w:r>
    </w:p>
    <w:p>
      <w:pPr>
        <w:pStyle w:val="Heading1"/>
      </w:pPr>
      <w:r>
        <w:t xml:space="preserve">2. Pourquoi ces zones ?</w:t>
      </w:r>
    </w:p>
    <w:p>
      <w:pPr>
        <w:spacing w:after="160" w:line="300"/>
      </w:pPr>
      <w:r>
        <w:t xml:space="preserve">Le point de départ de la sélection n'est pas arbitraire : il s'appuie sur l'historique d'intervention de Tostan au Sénégal. Six régions ont récemment bénéficié du programme PRCC (Programme de Renforcement des Capacités Communautaires) de l'organisation : Tambacounda, Matam, Kolda, Sédhiou, Kédougou et Saint-Louis.</w:t>
      </w:r>
    </w:p>
    <w:p>
      <w:pPr>
        <w:spacing w:after="160" w:line="300"/>
      </w:pPr>
      <w:r>
        <w:t xml:space="preserve">Choisir de partir de ces six régions présente un avantage opérationnel décisif : Tostan y dispose déjà de relais locaux, de facilitateurs formés et d'une relation de confiance établie avec les communautés. S'appuyer sur cet ancrage existant permet de réduire considérablement les délais de mise en œuvre du projet JO'TALI.</w:t>
      </w:r>
    </w:p>
    <w:p>
      <w:pPr>
        <w:pStyle w:val="Heading2"/>
      </w:pPr>
      <w:r>
        <w:t xml:space="preserve">2.1 Le regroupement en trois zones</w:t>
      </w:r>
    </w:p>
    <w:p>
      <w:pPr>
        <w:spacing w:after="160" w:line="300"/>
      </w:pPr>
      <w:r>
        <w:t xml:space="preserve">Afin de simplifier la gestion opérationnelle et la coordination des équipes terrain, les six régions d'origine ont été regroupées en trois zones d'intervention :</w:t>
      </w:r>
    </w:p>
    <w:p>
      <w:pPr>
        <w:pStyle w:val="Heading3"/>
      </w:pPr>
      <w:r>
        <w:t xml:space="preserve">Zone 1 — Kolda &amp; Sédhiou (141 communautés)</w:t>
      </w:r>
    </w:p>
    <w:p>
      <w:pPr>
        <w:spacing w:after="160" w:line="300"/>
      </w:pPr>
      <w:r>
        <w:t xml:space="preserve">Kolda dispose à elle seule d'un nombre suffisant de communautés répondant aux critères de qualité retenus pour porter une zone. Sédhiou, région voisine, lui a été associée afin de mutualiser la coordination logistique.</w:t>
      </w:r>
    </w:p>
    <w:p>
      <w:pPr>
        <w:pStyle w:val="Heading3"/>
      </w:pPr>
      <w:r>
        <w:t xml:space="preserve">Zone 2 — Tambacounda &amp; Kédougou (59 communautés)</w:t>
      </w:r>
    </w:p>
    <w:p>
      <w:pPr>
        <w:spacing w:after="160" w:line="300"/>
      </w:pPr>
      <w:r>
        <w:t xml:space="preserve">Ces deux régions voisines ont été regroupées pour équilibrer les volumes entre les trois zones — chacune prise séparément n'aurait pas représenté une charge de gestion suffisamment homogène avec les deux autres zones.</w:t>
      </w:r>
    </w:p>
    <w:p>
      <w:pPr>
        <w:pStyle w:val="Heading3"/>
      </w:pPr>
      <w:r>
        <w:t xml:space="preserve">Zone 3 — Matam (100 communautés)</w:t>
      </w:r>
    </w:p>
    <w:p>
      <w:pPr>
        <w:spacing w:after="160" w:line="300"/>
      </w:pPr>
      <w:r>
        <w:t xml:space="preserve">Matam porte la zone seule. Les communautés PRCC récentes de Saint-Louis (25 communautés en cours, contre seulement 9 issues d'un PRCC plus ancien datant de 2013) ont été intégrées à cette zone afin de favoriser un meilleur équilibre opérationnel d'ensemble.</w:t>
      </w:r>
    </w:p>
    <w:p>
      <w:pPr>
        <w:spacing w:after="120" w:before="200"/>
      </w:pPr>
      <w:r>
        <w:rPr>
          <w:b/>
          <w:bCs/>
          <w:color w:val="1B4332"/>
          <w:sz w:val="20"/>
          <w:szCs w:val="20"/>
        </w:rPr>
        <w:t xml:space="preserve">Tableau 1 — Répartition des 300 communautés par zone</w:t>
      </w:r>
    </w:p>
    <w:tbl>
      <w:tblPr>
        <w:tblW w:type="dxa" w:w="9360"/>
        <w:tblBorders>
          <w:top w:val="single" w:color="D9D9D9" w:sz="2"/>
          <w:left w:val="single" w:color="D9D9D9" w:sz="2"/>
          <w:bottom w:val="single" w:color="D9D9D9" w:sz="2"/>
          <w:right w:val="single" w:color="D9D9D9" w:sz="2"/>
          <w:insideH w:val="single" w:color="auto" w:sz="4"/>
          <w:insideV w:val="single" w:color="auto" w:sz="4"/>
        </w:tblBorders>
      </w:tblPr>
      <w:tblGrid>
        <w:gridCol w:w="2200"/>
        <w:gridCol w:w="2800"/>
        <w:gridCol w:w="1800"/>
        <w:gridCol w:w="2560"/>
      </w:tblGrid>
      <w:tr>
        <w:trPr>
          <w:tblHeader/>
        </w:trPr>
        <w:tc>
          <w:tcPr>
            <w:tcW w:type="dxa" w:w="2200"/>
            <w:shd w:fill="1B4332" w:val="clear"/>
            <w:tcMar>
              <w:top w:type="dxa" w:w="100"/>
              <w:left w:type="dxa" w:w="140"/>
              <w:bottom w:type="dxa" w:w="100"/>
              <w:right w:type="dxa" w:w="140"/>
            </w:tcMar>
            <w:vAlign w:val="center"/>
          </w:tcPr>
          <w:p>
            <w:pPr>
              <w:jc w:val="left"/>
            </w:pPr>
            <w:r>
              <w:rPr>
                <w:b/>
                <w:bCs/>
                <w:color w:val="FFFFFF"/>
                <w:sz w:val="20"/>
                <w:szCs w:val="20"/>
              </w:rPr>
              <w:t xml:space="preserve">Zone</w:t>
            </w:r>
          </w:p>
        </w:tc>
        <w:tc>
          <w:tcPr>
            <w:tcW w:type="dxa" w:w="2800"/>
            <w:shd w:fill="1B4332" w:val="clear"/>
            <w:tcMar>
              <w:top w:type="dxa" w:w="100"/>
              <w:left w:type="dxa" w:w="140"/>
              <w:bottom w:type="dxa" w:w="100"/>
              <w:right w:type="dxa" w:w="140"/>
            </w:tcMar>
            <w:vAlign w:val="center"/>
          </w:tcPr>
          <w:p>
            <w:pPr>
              <w:jc w:val="left"/>
            </w:pPr>
            <w:r>
              <w:rPr>
                <w:b/>
                <w:bCs/>
                <w:color w:val="FFFFFF"/>
                <w:sz w:val="20"/>
                <w:szCs w:val="20"/>
              </w:rPr>
              <w:t xml:space="preserve">Régions regroupées</w:t>
            </w:r>
          </w:p>
        </w:tc>
        <w:tc>
          <w:tcPr>
            <w:tcW w:type="dxa" w:w="1800"/>
            <w:shd w:fill="1B4332" w:val="clear"/>
            <w:tcMar>
              <w:top w:type="dxa" w:w="100"/>
              <w:left w:type="dxa" w:w="140"/>
              <w:bottom w:type="dxa" w:w="100"/>
              <w:right w:type="dxa" w:w="140"/>
            </w:tcMar>
            <w:vAlign w:val="center"/>
          </w:tcPr>
          <w:p>
            <w:pPr>
              <w:jc w:val="center"/>
            </w:pPr>
            <w:r>
              <w:rPr>
                <w:b/>
                <w:bCs/>
                <w:color w:val="FFFFFF"/>
                <w:sz w:val="20"/>
                <w:szCs w:val="20"/>
              </w:rPr>
              <w:t xml:space="preserve">Communautés</w:t>
            </w:r>
          </w:p>
        </w:tc>
        <w:tc>
          <w:tcPr>
            <w:tcW w:type="dxa" w:w="2560"/>
            <w:shd w:fill="1B4332" w:val="clear"/>
            <w:tcMar>
              <w:top w:type="dxa" w:w="100"/>
              <w:left w:type="dxa" w:w="140"/>
              <w:bottom w:type="dxa" w:w="100"/>
              <w:right w:type="dxa" w:w="140"/>
            </w:tcMar>
            <w:vAlign w:val="center"/>
          </w:tcPr>
          <w:p>
            <w:pPr>
              <w:jc w:val="center"/>
            </w:pPr>
            <w:r>
              <w:rPr>
                <w:b/>
                <w:bCs/>
                <w:color w:val="FFFFFF"/>
                <w:sz w:val="20"/>
                <w:szCs w:val="20"/>
              </w:rPr>
              <w:t xml:space="preserve">Jeunes 15-35 estimés</w:t>
            </w:r>
          </w:p>
        </w:tc>
      </w:tr>
      <w:tr>
        <w:tc>
          <w:tcPr>
            <w:tcW w:type="dxa" w:w="2200"/>
            <w:shd w:fill="F4F7F5" w:val="clear"/>
            <w:tcMar>
              <w:top w:type="dxa" w:w="100"/>
              <w:left w:type="dxa" w:w="140"/>
              <w:bottom w:type="dxa" w:w="100"/>
              <w:right w:type="dxa" w:w="140"/>
            </w:tcMar>
            <w:vAlign w:val="center"/>
          </w:tcPr>
          <w:p>
            <w:pPr>
              <w:jc w:val="left"/>
            </w:pPr>
            <w:r>
              <w:rPr>
                <w:b/>
                <w:bCs/>
                <w:color w:val="1E8449"/>
                <w:sz w:val="20"/>
                <w:szCs w:val="20"/>
              </w:rPr>
              <w:t xml:space="preserve">Zone 1</w:t>
            </w:r>
          </w:p>
        </w:tc>
        <w:tc>
          <w:tcPr>
            <w:tcW w:type="dxa" w:w="2800"/>
            <w:tcMar>
              <w:top w:type="dxa" w:w="100"/>
              <w:left w:type="dxa" w:w="140"/>
              <w:bottom w:type="dxa" w:w="100"/>
              <w:right w:type="dxa" w:w="140"/>
            </w:tcMar>
            <w:vAlign w:val="center"/>
          </w:tcPr>
          <w:p>
            <w:pPr>
              <w:jc w:val="left"/>
            </w:pPr>
            <w:r>
              <w:rPr>
                <w:b w:val="false"/>
                <w:bCs w:val="false"/>
                <w:color w:val="1B1B1B"/>
                <w:sz w:val="20"/>
                <w:szCs w:val="20"/>
              </w:rPr>
              <w:t xml:space="preserve">Kolda &amp; Sédhiou</w:t>
            </w:r>
          </w:p>
        </w:tc>
        <w:tc>
          <w:tcPr>
            <w:tcW w:type="dxa" w:w="1800"/>
            <w:tcMar>
              <w:top w:type="dxa" w:w="100"/>
              <w:left w:type="dxa" w:w="140"/>
              <w:bottom w:type="dxa" w:w="100"/>
              <w:right w:type="dxa" w:w="140"/>
            </w:tcMar>
            <w:vAlign w:val="center"/>
          </w:tcPr>
          <w:p>
            <w:pPr>
              <w:jc w:val="center"/>
            </w:pPr>
            <w:r>
              <w:rPr>
                <w:b/>
                <w:bCs/>
                <w:color w:val="1B1B1B"/>
                <w:sz w:val="20"/>
                <w:szCs w:val="20"/>
              </w:rPr>
              <w:t xml:space="preserve">141</w:t>
            </w:r>
          </w:p>
        </w:tc>
        <w:tc>
          <w:tcPr>
            <w:tcW w:type="dxa" w:w="2560"/>
            <w:tcMar>
              <w:top w:type="dxa" w:w="100"/>
              <w:left w:type="dxa" w:w="140"/>
              <w:bottom w:type="dxa" w:w="100"/>
              <w:right w:type="dxa" w:w="140"/>
            </w:tcMar>
            <w:vAlign w:val="center"/>
          </w:tcPr>
          <w:p>
            <w:pPr>
              <w:jc w:val="center"/>
            </w:pPr>
            <w:r>
              <w:rPr>
                <w:b w:val="false"/>
                <w:bCs w:val="false"/>
                <w:color w:val="1B1B1B"/>
                <w:sz w:val="20"/>
                <w:szCs w:val="20"/>
              </w:rPr>
              <w:t xml:space="preserve">31 551</w:t>
            </w:r>
          </w:p>
        </w:tc>
      </w:tr>
      <w:tr>
        <w:tc>
          <w:tcPr>
            <w:tcW w:type="dxa" w:w="2200"/>
            <w:shd w:fill="F4F7F5" w:val="clear"/>
            <w:tcMar>
              <w:top w:type="dxa" w:w="100"/>
              <w:left w:type="dxa" w:w="140"/>
              <w:bottom w:type="dxa" w:w="100"/>
              <w:right w:type="dxa" w:w="140"/>
            </w:tcMar>
            <w:vAlign w:val="center"/>
          </w:tcPr>
          <w:p>
            <w:pPr>
              <w:jc w:val="left"/>
            </w:pPr>
            <w:r>
              <w:rPr>
                <w:b/>
                <w:bCs/>
                <w:color w:val="C0392B"/>
                <w:sz w:val="20"/>
                <w:szCs w:val="20"/>
              </w:rPr>
              <w:t xml:space="preserve">Zone 2</w:t>
            </w:r>
          </w:p>
        </w:tc>
        <w:tc>
          <w:tcPr>
            <w:tcW w:type="dxa" w:w="2800"/>
            <w:tcMar>
              <w:top w:type="dxa" w:w="100"/>
              <w:left w:type="dxa" w:w="140"/>
              <w:bottom w:type="dxa" w:w="100"/>
              <w:right w:type="dxa" w:w="140"/>
            </w:tcMar>
            <w:vAlign w:val="center"/>
          </w:tcPr>
          <w:p>
            <w:pPr>
              <w:jc w:val="left"/>
            </w:pPr>
            <w:r>
              <w:rPr>
                <w:b w:val="false"/>
                <w:bCs w:val="false"/>
                <w:color w:val="1B1B1B"/>
                <w:sz w:val="20"/>
                <w:szCs w:val="20"/>
              </w:rPr>
              <w:t xml:space="preserve">Tambacounda &amp; Kédougou</w:t>
            </w:r>
          </w:p>
        </w:tc>
        <w:tc>
          <w:tcPr>
            <w:tcW w:type="dxa" w:w="1800"/>
            <w:tcMar>
              <w:top w:type="dxa" w:w="100"/>
              <w:left w:type="dxa" w:w="140"/>
              <w:bottom w:type="dxa" w:w="100"/>
              <w:right w:type="dxa" w:w="140"/>
            </w:tcMar>
            <w:vAlign w:val="center"/>
          </w:tcPr>
          <w:p>
            <w:pPr>
              <w:jc w:val="center"/>
            </w:pPr>
            <w:r>
              <w:rPr>
                <w:b/>
                <w:bCs/>
                <w:color w:val="1B1B1B"/>
                <w:sz w:val="20"/>
                <w:szCs w:val="20"/>
              </w:rPr>
              <w:t xml:space="preserve">59</w:t>
            </w:r>
          </w:p>
        </w:tc>
        <w:tc>
          <w:tcPr>
            <w:tcW w:type="dxa" w:w="2560"/>
            <w:tcMar>
              <w:top w:type="dxa" w:w="100"/>
              <w:left w:type="dxa" w:w="140"/>
              <w:bottom w:type="dxa" w:w="100"/>
              <w:right w:type="dxa" w:w="140"/>
            </w:tcMar>
            <w:vAlign w:val="center"/>
          </w:tcPr>
          <w:p>
            <w:pPr>
              <w:jc w:val="center"/>
            </w:pPr>
            <w:r>
              <w:rPr>
                <w:b w:val="false"/>
                <w:bCs w:val="false"/>
                <w:color w:val="1B1B1B"/>
                <w:sz w:val="20"/>
                <w:szCs w:val="20"/>
              </w:rPr>
              <w:t xml:space="preserve">7 388</w:t>
            </w:r>
          </w:p>
        </w:tc>
      </w:tr>
      <w:tr>
        <w:tc>
          <w:tcPr>
            <w:tcW w:type="dxa" w:w="2200"/>
            <w:shd w:fill="F4F7F5" w:val="clear"/>
            <w:tcMar>
              <w:top w:type="dxa" w:w="100"/>
              <w:left w:type="dxa" w:w="140"/>
              <w:bottom w:type="dxa" w:w="100"/>
              <w:right w:type="dxa" w:w="140"/>
            </w:tcMar>
            <w:vAlign w:val="center"/>
          </w:tcPr>
          <w:p>
            <w:pPr>
              <w:jc w:val="left"/>
            </w:pPr>
            <w:r>
              <w:rPr>
                <w:b/>
                <w:bCs/>
                <w:color w:val="1F618D"/>
                <w:sz w:val="20"/>
                <w:szCs w:val="20"/>
              </w:rPr>
              <w:t xml:space="preserve">Zone 3</w:t>
            </w:r>
          </w:p>
        </w:tc>
        <w:tc>
          <w:tcPr>
            <w:tcW w:type="dxa" w:w="2800"/>
            <w:tcMar>
              <w:top w:type="dxa" w:w="100"/>
              <w:left w:type="dxa" w:w="140"/>
              <w:bottom w:type="dxa" w:w="100"/>
              <w:right w:type="dxa" w:w="140"/>
            </w:tcMar>
            <w:vAlign w:val="center"/>
          </w:tcPr>
          <w:p>
            <w:pPr>
              <w:jc w:val="left"/>
            </w:pPr>
            <w:r>
              <w:rPr>
                <w:b w:val="false"/>
                <w:bCs w:val="false"/>
                <w:color w:val="1B1B1B"/>
                <w:sz w:val="20"/>
                <w:szCs w:val="20"/>
              </w:rPr>
              <w:t xml:space="preserve">Matam (+ Saint-Louis)</w:t>
            </w:r>
          </w:p>
        </w:tc>
        <w:tc>
          <w:tcPr>
            <w:tcW w:type="dxa" w:w="1800"/>
            <w:tcMar>
              <w:top w:type="dxa" w:w="100"/>
              <w:left w:type="dxa" w:w="140"/>
              <w:bottom w:type="dxa" w:w="100"/>
              <w:right w:type="dxa" w:w="140"/>
            </w:tcMar>
            <w:vAlign w:val="center"/>
          </w:tcPr>
          <w:p>
            <w:pPr>
              <w:jc w:val="center"/>
            </w:pPr>
            <w:r>
              <w:rPr>
                <w:b/>
                <w:bCs/>
                <w:color w:val="1B1B1B"/>
                <w:sz w:val="20"/>
                <w:szCs w:val="20"/>
              </w:rPr>
              <w:t xml:space="preserve">100</w:t>
            </w:r>
          </w:p>
        </w:tc>
        <w:tc>
          <w:tcPr>
            <w:tcW w:type="dxa" w:w="2560"/>
            <w:tcMar>
              <w:top w:type="dxa" w:w="100"/>
              <w:left w:type="dxa" w:w="140"/>
              <w:bottom w:type="dxa" w:w="100"/>
              <w:right w:type="dxa" w:w="140"/>
            </w:tcMar>
            <w:vAlign w:val="center"/>
          </w:tcPr>
          <w:p>
            <w:pPr>
              <w:jc w:val="center"/>
            </w:pPr>
            <w:r>
              <w:rPr>
                <w:b w:val="false"/>
                <w:bCs w:val="false"/>
                <w:color w:val="1B1B1B"/>
                <w:sz w:val="20"/>
                <w:szCs w:val="20"/>
              </w:rPr>
              <w:t xml:space="preserve">52 280</w:t>
            </w:r>
          </w:p>
        </w:tc>
      </w:tr>
      <w:tr>
        <w:tc>
          <w:tcPr>
            <w:tcW w:type="dxa" w:w="2200"/>
            <w:shd w:fill="E8E8E8" w:val="clear"/>
            <w:tcMar>
              <w:top w:type="dxa" w:w="100"/>
              <w:left w:type="dxa" w:w="140"/>
              <w:bottom w:type="dxa" w:w="100"/>
              <w:right w:type="dxa" w:w="140"/>
            </w:tcMar>
            <w:vAlign w:val="center"/>
          </w:tcPr>
          <w:p>
            <w:pPr>
              <w:jc w:val="left"/>
            </w:pPr>
            <w:r>
              <w:rPr>
                <w:b/>
                <w:bCs/>
                <w:color w:val="1B1B1B"/>
                <w:sz w:val="20"/>
                <w:szCs w:val="20"/>
              </w:rPr>
              <w:t xml:space="preserve">Total</w:t>
            </w:r>
          </w:p>
        </w:tc>
        <w:tc>
          <w:tcPr>
            <w:tcW w:type="dxa" w:w="2800"/>
            <w:shd w:fill="E8E8E8" w:val="clear"/>
            <w:tcMar>
              <w:top w:type="dxa" w:w="100"/>
              <w:left w:type="dxa" w:w="140"/>
              <w:bottom w:type="dxa" w:w="100"/>
              <w:right w:type="dxa" w:w="140"/>
            </w:tcMar>
            <w:vAlign w:val="center"/>
          </w:tcPr>
          <w:p>
            <w:pPr>
              <w:jc w:val="left"/>
            </w:pPr>
            <w:r>
              <w:rPr>
                <w:b w:val="false"/>
                <w:bCs w:val="false"/>
                <w:color w:val="1B1B1B"/>
                <w:sz w:val="20"/>
                <w:szCs w:val="20"/>
              </w:rPr>
              <w:t xml:space="preserve">6 régions</w:t>
            </w:r>
          </w:p>
        </w:tc>
        <w:tc>
          <w:tcPr>
            <w:tcW w:type="dxa" w:w="1800"/>
            <w:shd w:fill="E8E8E8" w:val="clear"/>
            <w:tcMar>
              <w:top w:type="dxa" w:w="100"/>
              <w:left w:type="dxa" w:w="140"/>
              <w:bottom w:type="dxa" w:w="100"/>
              <w:right w:type="dxa" w:w="140"/>
            </w:tcMar>
            <w:vAlign w:val="center"/>
          </w:tcPr>
          <w:p>
            <w:pPr>
              <w:jc w:val="center"/>
            </w:pPr>
            <w:r>
              <w:rPr>
                <w:b/>
                <w:bCs/>
                <w:color w:val="1B1B1B"/>
                <w:sz w:val="20"/>
                <w:szCs w:val="20"/>
              </w:rPr>
              <w:t xml:space="preserve">300</w:t>
            </w:r>
          </w:p>
        </w:tc>
        <w:tc>
          <w:tcPr>
            <w:tcW w:type="dxa" w:w="2560"/>
            <w:shd w:fill="E8E8E8" w:val="clear"/>
            <w:tcMar>
              <w:top w:type="dxa" w:w="100"/>
              <w:left w:type="dxa" w:w="140"/>
              <w:bottom w:type="dxa" w:w="100"/>
              <w:right w:type="dxa" w:w="140"/>
            </w:tcMar>
            <w:vAlign w:val="center"/>
          </w:tcPr>
          <w:p>
            <w:pPr>
              <w:jc w:val="center"/>
            </w:pPr>
            <w:r>
              <w:rPr>
                <w:b/>
                <w:bCs/>
                <w:color w:val="1B1B1B"/>
                <w:sz w:val="20"/>
                <w:szCs w:val="20"/>
              </w:rPr>
              <w:t xml:space="preserve">91 219</w:t>
            </w:r>
          </w:p>
        </w:tc>
      </w:tr>
    </w:tbl>
    <w:p>
      <w:pPr>
        <w:pStyle w:val="Heading1"/>
      </w:pPr>
      <w:r>
        <w:t xml:space="preserve">3. La priorité absolue : le lien Tostan déjà actif</w:t>
      </w:r>
    </w:p>
    <w:p>
      <w:pPr>
        <w:spacing w:after="160" w:line="300"/>
      </w:pPr>
      <w:r>
        <w:t xml:space="preserve">Avant tout calcul de score, une règle prime sur toutes les autres dans chaque zone : les communautés où le programme PRCC est encore en cours sont retenues en premier, sans exception.</w:t>
      </w:r>
    </w:p>
    <w:p>
      <w:pPr>
        <w:spacing w:after="160" w:line="300"/>
      </w:pPr>
      <w:r>
        <w:t xml:space="preserve">Cette priorité se justifie par un avantage opérationnel concret : ces communautés bénéficient déjà de superviseurs et de facilitateurs Tostan actifs sur le terrain. Le démarrage des activités JO'TALI peut donc s'y faire rapidement, sans délai de mise en place d'une nouvelle relation de confiance avec la population locale.</w:t>
      </w:r>
    </w:p>
    <w:p>
      <w:pPr>
        <w:pStyle w:val="Heading2"/>
      </w:pPr>
      <w:r>
        <w:t xml:space="preserve">3.1 Répartition de la priorité PRCC en cours</w:t>
      </w:r>
    </w:p>
    <w:p>
      <w:pPr>
        <w:pStyle w:val="ListParagraph"/>
        <w:numPr>
          <w:ilvl w:val="0"/>
          <w:numId w:val="2"/>
        </w:numPr>
        <w:spacing w:after="100" w:line="290"/>
      </w:pPr>
      <w:r>
        <w:t xml:space="preserve">20 communautés en PRCC EN COURS, toutes situées à Kolda — regroupées avec Sédhiou pour former la Zone 1</w:t>
      </w:r>
    </w:p>
    <w:p>
      <w:pPr>
        <w:pStyle w:val="ListParagraph"/>
        <w:numPr>
          <w:ilvl w:val="0"/>
          <w:numId w:val="2"/>
        </w:numPr>
        <w:spacing w:after="100" w:line="290"/>
      </w:pPr>
      <w:r>
        <w:t xml:space="preserve">25 communautés PRCC en cours supplémentaires à Saint-Louis — intégrées à la Zone 3 (Matam) pour un meilleur équilibre opérationnel</w:t>
      </w:r>
    </w:p>
    <w:p>
      <w:pPr>
        <w:pStyle w:val="ListParagraph"/>
        <w:numPr>
          <w:ilvl w:val="0"/>
          <w:numId w:val="2"/>
        </w:numPr>
        <w:spacing w:after="100" w:line="290"/>
      </w:pPr>
      <w:r>
        <w:t xml:space="preserve">Au total, 45 communautés bénéficient de ce statut prioritaire sur les 300 sélectionnées, soit 15 % de la sélection totale</w:t>
      </w:r>
    </w:p>
    <w:p>
      <w:pPr>
        <w:spacing w:after="160" w:line="300"/>
      </w:pPr>
      <w:r>
        <w:t xml:space="preserve">Ce n'est qu'une fois ces communautés prioritaires intégrées que le reste des places disponibles dans chaque zone est attribué selon la grille de notation détaillée à la section suivante.</w:t>
      </w:r>
    </w:p>
    <w:p>
      <w:r>
        <w:br w:type="page"/>
      </w:r>
    </w:p>
    <w:p>
      <w:pPr>
        <w:pStyle w:val="Heading1"/>
      </w:pPr>
      <w:r>
        <w:t xml:space="preserve">4. La grille de notation sur 100 points</w:t>
      </w:r>
    </w:p>
    <w:p>
      <w:pPr>
        <w:spacing w:after="160" w:line="300"/>
      </w:pPr>
      <w:r>
        <w:t xml:space="preserve">Pour les communautés qui ne bénéficient pas du statut PRCC en cours, la sélection des places restantes dans chaque zone repose sur une note calculée à partir de quatre critères pondérés, totalisant 100 points.</w:t>
      </w:r>
    </w:p>
    <w:p>
      <w:pPr>
        <w:spacing w:after="160" w:line="300"/>
      </w:pPr>
      <w:r>
        <w:t xml:space="preserve">Cette pondération reflète les priorités opérationnelles du projet : elle privilégie d'abord la fraîcheur du lien avec Tostan, puis la taille du bassin de jeunes mobilisables, puis la facilité logistique, et enfin la présence d'un accompagnement Tostan complémentaire.</w:t>
      </w:r>
    </w:p>
    <w:p>
      <w:pPr>
        <w:spacing w:after="120" w:before="200"/>
      </w:pPr>
      <w:r>
        <w:rPr>
          <w:b/>
          <w:bCs/>
          <w:color w:val="1B4332"/>
          <w:sz w:val="20"/>
          <w:szCs w:val="20"/>
        </w:rPr>
        <w:t xml:space="preserve">Tableau 2 — Les 4 critères de notation</w:t>
      </w:r>
    </w:p>
    <w:tbl>
      <w:tblPr>
        <w:tblW w:type="dxa" w:w="9360"/>
        <w:tblBorders>
          <w:top w:val="single" w:color="D9D9D9" w:sz="2"/>
          <w:left w:val="single" w:color="D9D9D9" w:sz="2"/>
          <w:bottom w:val="single" w:color="D9D9D9" w:sz="2"/>
          <w:right w:val="single" w:color="D9D9D9" w:sz="2"/>
          <w:insideH w:val="single" w:color="auto" w:sz="4"/>
          <w:insideV w:val="single" w:color="auto" w:sz="4"/>
        </w:tblBorders>
      </w:tblPr>
      <w:tblGrid>
        <w:gridCol w:w="1400"/>
        <w:gridCol w:w="3400"/>
        <w:gridCol w:w="3160"/>
        <w:gridCol w:w="1400"/>
      </w:tblGrid>
      <w:tr>
        <w:trPr>
          <w:cantSplit/>
          <w:tblHeader/>
        </w:trPr>
        <w:tc>
          <w:tcPr>
            <w:tcW w:type="dxa" w:w="1400"/>
            <w:shd w:fill="1B4332" w:val="clear"/>
            <w:tcMar>
              <w:top w:type="dxa" w:w="100"/>
              <w:left w:type="dxa" w:w="140"/>
              <w:bottom w:type="dxa" w:w="100"/>
              <w:right w:type="dxa" w:w="140"/>
            </w:tcMar>
            <w:vAlign w:val="center"/>
          </w:tcPr>
          <w:p>
            <w:pPr>
              <w:jc w:val="center"/>
            </w:pPr>
            <w:r>
              <w:rPr>
                <w:b/>
                <w:bCs/>
                <w:color w:val="FFFFFF"/>
                <w:sz w:val="20"/>
                <w:szCs w:val="20"/>
              </w:rPr>
              <w:t xml:space="preserve">Points</w:t>
            </w:r>
          </w:p>
        </w:tc>
        <w:tc>
          <w:tcPr>
            <w:tcW w:type="dxa" w:w="3400"/>
            <w:shd w:fill="1B4332" w:val="clear"/>
            <w:tcMar>
              <w:top w:type="dxa" w:w="100"/>
              <w:left w:type="dxa" w:w="140"/>
              <w:bottom w:type="dxa" w:w="100"/>
              <w:right w:type="dxa" w:w="140"/>
            </w:tcMar>
            <w:vAlign w:val="center"/>
          </w:tcPr>
          <w:p>
            <w:pPr>
              <w:jc w:val="left"/>
            </w:pPr>
            <w:r>
              <w:rPr>
                <w:b/>
                <w:bCs/>
                <w:color w:val="FFFFFF"/>
                <w:sz w:val="20"/>
                <w:szCs w:val="20"/>
              </w:rPr>
              <w:t xml:space="preserve">Critère</w:t>
            </w:r>
          </w:p>
        </w:tc>
        <w:tc>
          <w:tcPr>
            <w:tcW w:type="dxa" w:w="3160"/>
            <w:shd w:fill="1B4332" w:val="clear"/>
            <w:tcMar>
              <w:top w:type="dxa" w:w="100"/>
              <w:left w:type="dxa" w:w="140"/>
              <w:bottom w:type="dxa" w:w="100"/>
              <w:right w:type="dxa" w:w="140"/>
            </w:tcMar>
            <w:vAlign w:val="center"/>
          </w:tcPr>
          <w:p>
            <w:pPr>
              <w:jc w:val="left"/>
            </w:pPr>
            <w:r>
              <w:rPr>
                <w:b/>
                <w:bCs/>
                <w:color w:val="FFFFFF"/>
                <w:sz w:val="20"/>
                <w:szCs w:val="20"/>
              </w:rPr>
              <w:t xml:space="preserve">Justification</w:t>
            </w:r>
          </w:p>
        </w:tc>
        <w:tc>
          <w:tcPr>
            <w:tcW w:type="dxa" w:w="1400"/>
            <w:shd w:fill="1B4332" w:val="clear"/>
            <w:tcMar>
              <w:top w:type="dxa" w:w="100"/>
              <w:left w:type="dxa" w:w="140"/>
              <w:bottom w:type="dxa" w:w="100"/>
              <w:right w:type="dxa" w:w="140"/>
            </w:tcMar>
            <w:vAlign w:val="center"/>
          </w:tcPr>
          <w:p>
            <w:pPr>
              <w:jc w:val="center"/>
            </w:pPr>
            <w:r>
              <w:rPr>
                <w:b/>
                <w:bCs/>
                <w:color w:val="FFFFFF"/>
                <w:sz w:val="20"/>
                <w:szCs w:val="20"/>
              </w:rPr>
              <w:t xml:space="preserve">Poids</w:t>
            </w:r>
          </w:p>
        </w:tc>
      </w:tr>
      <w:tr>
        <w:trPr>
          <w:cantSplit/>
        </w:trPr>
        <w:tc>
          <w:tcPr>
            <w:tcW w:type="dxa" w:w="1400"/>
            <w:shd w:fill="F4F7F5" w:val="clear"/>
            <w:tcMar>
              <w:top w:type="dxa" w:w="100"/>
              <w:left w:type="dxa" w:w="140"/>
              <w:bottom w:type="dxa" w:w="100"/>
              <w:right w:type="dxa" w:w="140"/>
            </w:tcMar>
            <w:vAlign w:val="center"/>
          </w:tcPr>
          <w:p>
            <w:pPr>
              <w:jc w:val="center"/>
            </w:pPr>
            <w:r>
              <w:rPr>
                <w:b/>
                <w:bCs/>
                <w:color w:val="1B4332"/>
                <w:sz w:val="24"/>
                <w:szCs w:val="24"/>
              </w:rPr>
              <w:t xml:space="preserve">35</w:t>
            </w:r>
          </w:p>
        </w:tc>
        <w:tc>
          <w:tcPr>
            <w:tcW w:type="dxa" w:w="3400"/>
            <w:tcMar>
              <w:top w:type="dxa" w:w="100"/>
              <w:left w:type="dxa" w:w="140"/>
              <w:bottom w:type="dxa" w:w="100"/>
              <w:right w:type="dxa" w:w="140"/>
            </w:tcMar>
            <w:vAlign w:val="center"/>
          </w:tcPr>
          <w:p>
            <w:pPr>
              <w:jc w:val="left"/>
            </w:pPr>
            <w:r>
              <w:rPr>
                <w:b/>
                <w:bCs/>
                <w:color w:val="1B1B1B"/>
                <w:sz w:val="20"/>
                <w:szCs w:val="20"/>
              </w:rPr>
              <w:t xml:space="preserve">PRCC récent ou en cours</w:t>
            </w:r>
          </w:p>
        </w:tc>
        <w:tc>
          <w:tcPr>
            <w:tcW w:type="dxa" w:w="3160"/>
            <w:tcMar>
              <w:top w:type="dxa" w:w="100"/>
              <w:left w:type="dxa" w:w="140"/>
              <w:bottom w:type="dxa" w:w="100"/>
              <w:right w:type="dxa" w:w="140"/>
            </w:tcMar>
            <w:vAlign w:val="center"/>
          </w:tcPr>
          <w:p>
            <w:pPr>
              <w:jc w:val="left"/>
            </w:pPr>
            <w:r>
              <w:rPr>
                <w:b w:val="false"/>
                <w:bCs w:val="false"/>
                <w:color w:val="1B1B1B"/>
                <w:sz w:val="20"/>
                <w:szCs w:val="20"/>
              </w:rPr>
              <w:t xml:space="preserve">Lien Tostan le plus frais possible avec la communauté</w:t>
            </w:r>
          </w:p>
        </w:tc>
        <w:tc>
          <w:tcPr>
            <w:tcW w:type="dxa" w:w="1400"/>
            <w:tcMar>
              <w:top w:type="dxa" w:w="100"/>
              <w:left w:type="dxa" w:w="140"/>
              <w:bottom w:type="dxa" w:w="100"/>
              <w:right w:type="dxa" w:w="140"/>
            </w:tcMar>
            <w:vAlign w:val="center"/>
          </w:tcPr>
          <w:p>
            <w:pPr>
              <w:jc w:val="center"/>
            </w:pPr>
            <w:r>
              <w:rPr>
                <w:b w:val="false"/>
                <w:bCs w:val="false"/>
                <w:color w:val="1B1B1B"/>
                <w:sz w:val="20"/>
                <w:szCs w:val="20"/>
              </w:rPr>
              <w:t xml:space="preserve">35 %</w:t>
            </w:r>
          </w:p>
        </w:tc>
      </w:tr>
      <w:tr>
        <w:trPr>
          <w:cantSplit/>
        </w:trPr>
        <w:tc>
          <w:tcPr>
            <w:tcW w:type="dxa" w:w="1400"/>
            <w:shd w:fill="F4F7F5" w:val="clear"/>
            <w:tcMar>
              <w:top w:type="dxa" w:w="100"/>
              <w:left w:type="dxa" w:w="140"/>
              <w:bottom w:type="dxa" w:w="100"/>
              <w:right w:type="dxa" w:w="140"/>
            </w:tcMar>
            <w:vAlign w:val="center"/>
          </w:tcPr>
          <w:p>
            <w:pPr>
              <w:jc w:val="center"/>
            </w:pPr>
            <w:r>
              <w:rPr>
                <w:b/>
                <w:bCs/>
                <w:color w:val="B5650A"/>
                <w:sz w:val="24"/>
                <w:szCs w:val="24"/>
              </w:rPr>
              <w:t xml:space="preserve">30</w:t>
            </w:r>
          </w:p>
        </w:tc>
        <w:tc>
          <w:tcPr>
            <w:tcW w:type="dxa" w:w="3400"/>
            <w:tcMar>
              <w:top w:type="dxa" w:w="100"/>
              <w:left w:type="dxa" w:w="140"/>
              <w:bottom w:type="dxa" w:w="100"/>
              <w:right w:type="dxa" w:w="140"/>
            </w:tcMar>
            <w:vAlign w:val="center"/>
          </w:tcPr>
          <w:p>
            <w:pPr>
              <w:jc w:val="left"/>
            </w:pPr>
            <w:r>
              <w:rPr>
                <w:b/>
                <w:bCs/>
                <w:color w:val="1B1B1B"/>
                <w:sz w:val="20"/>
                <w:szCs w:val="20"/>
              </w:rPr>
              <w:t xml:space="preserve">Nombre de jeunes 15-35 ans</w:t>
            </w:r>
          </w:p>
        </w:tc>
        <w:tc>
          <w:tcPr>
            <w:tcW w:type="dxa" w:w="3160"/>
            <w:tcMar>
              <w:top w:type="dxa" w:w="100"/>
              <w:left w:type="dxa" w:w="140"/>
              <w:bottom w:type="dxa" w:w="100"/>
              <w:right w:type="dxa" w:w="140"/>
            </w:tcMar>
            <w:vAlign w:val="center"/>
          </w:tcPr>
          <w:p>
            <w:pPr>
              <w:jc w:val="left"/>
            </w:pPr>
            <w:r>
              <w:rPr>
                <w:b w:val="false"/>
                <w:bCs w:val="false"/>
                <w:color w:val="1B1B1B"/>
                <w:sz w:val="20"/>
                <w:szCs w:val="20"/>
              </w:rPr>
              <w:t xml:space="preserve">Garantir un bassin de participants suffisant sur place</w:t>
            </w:r>
          </w:p>
        </w:tc>
        <w:tc>
          <w:tcPr>
            <w:tcW w:type="dxa" w:w="1400"/>
            <w:tcMar>
              <w:top w:type="dxa" w:w="100"/>
              <w:left w:type="dxa" w:w="140"/>
              <w:bottom w:type="dxa" w:w="100"/>
              <w:right w:type="dxa" w:w="140"/>
            </w:tcMar>
            <w:vAlign w:val="center"/>
          </w:tcPr>
          <w:p>
            <w:pPr>
              <w:jc w:val="center"/>
            </w:pPr>
            <w:r>
              <w:rPr>
                <w:b w:val="false"/>
                <w:bCs w:val="false"/>
                <w:color w:val="1B1B1B"/>
                <w:sz w:val="20"/>
                <w:szCs w:val="20"/>
              </w:rPr>
              <w:t xml:space="preserve">30 %</w:t>
            </w:r>
          </w:p>
        </w:tc>
      </w:tr>
      <w:tr>
        <w:trPr>
          <w:cantSplit/>
        </w:trPr>
        <w:tc>
          <w:tcPr>
            <w:tcW w:type="dxa" w:w="1400"/>
            <w:shd w:fill="F4F7F5" w:val="clear"/>
            <w:tcMar>
              <w:top w:type="dxa" w:w="100"/>
              <w:left w:type="dxa" w:w="140"/>
              <w:bottom w:type="dxa" w:w="100"/>
              <w:right w:type="dxa" w:w="140"/>
            </w:tcMar>
            <w:vAlign w:val="center"/>
          </w:tcPr>
          <w:p>
            <w:pPr>
              <w:jc w:val="center"/>
            </w:pPr>
            <w:r>
              <w:rPr>
                <w:b/>
                <w:bCs/>
                <w:color w:val="1F618D"/>
                <w:sz w:val="24"/>
                <w:szCs w:val="24"/>
              </w:rPr>
              <w:t xml:space="preserve">20</w:t>
            </w:r>
          </w:p>
        </w:tc>
        <w:tc>
          <w:tcPr>
            <w:tcW w:type="dxa" w:w="3400"/>
            <w:tcMar>
              <w:top w:type="dxa" w:w="100"/>
              <w:left w:type="dxa" w:w="140"/>
              <w:bottom w:type="dxa" w:w="100"/>
              <w:right w:type="dxa" w:w="140"/>
            </w:tcMar>
            <w:vAlign w:val="center"/>
          </w:tcPr>
          <w:p>
            <w:pPr>
              <w:jc w:val="left"/>
            </w:pPr>
            <w:r>
              <w:rPr>
                <w:b/>
                <w:bCs/>
                <w:color w:val="1B1B1B"/>
                <w:sz w:val="20"/>
                <w:szCs w:val="20"/>
              </w:rPr>
              <w:t xml:space="preserve">Communautés Tostan proches</w:t>
            </w:r>
          </w:p>
        </w:tc>
        <w:tc>
          <w:tcPr>
            <w:tcW w:type="dxa" w:w="3160"/>
            <w:tcMar>
              <w:top w:type="dxa" w:w="100"/>
              <w:left w:type="dxa" w:w="140"/>
              <w:bottom w:type="dxa" w:w="100"/>
              <w:right w:type="dxa" w:w="140"/>
            </w:tcMar>
            <w:vAlign w:val="center"/>
          </w:tcPr>
          <w:p>
            <w:pPr>
              <w:jc w:val="left"/>
            </w:pPr>
            <w:r>
              <w:rPr>
                <w:b w:val="false"/>
                <w:bCs w:val="false"/>
                <w:color w:val="1B1B1B"/>
                <w:sz w:val="20"/>
                <w:szCs w:val="20"/>
              </w:rPr>
              <w:t xml:space="preserve">Faciliter la logistique et les rencontres entre jeunes voisins</w:t>
            </w:r>
          </w:p>
        </w:tc>
        <w:tc>
          <w:tcPr>
            <w:tcW w:type="dxa" w:w="1400"/>
            <w:tcMar>
              <w:top w:type="dxa" w:w="100"/>
              <w:left w:type="dxa" w:w="140"/>
              <w:bottom w:type="dxa" w:w="100"/>
              <w:right w:type="dxa" w:w="140"/>
            </w:tcMar>
            <w:vAlign w:val="center"/>
          </w:tcPr>
          <w:p>
            <w:pPr>
              <w:jc w:val="center"/>
            </w:pPr>
            <w:r>
              <w:rPr>
                <w:b w:val="false"/>
                <w:bCs w:val="false"/>
                <w:color w:val="1B1B1B"/>
                <w:sz w:val="20"/>
                <w:szCs w:val="20"/>
              </w:rPr>
              <w:t xml:space="preserve">20 %</w:t>
            </w:r>
          </w:p>
        </w:tc>
      </w:tr>
      <w:tr>
        <w:trPr>
          <w:cantSplit/>
        </w:trPr>
        <w:tc>
          <w:tcPr>
            <w:tcW w:type="dxa" w:w="1400"/>
            <w:shd w:fill="F4F7F5" w:val="clear"/>
            <w:tcMar>
              <w:top w:type="dxa" w:w="100"/>
              <w:left w:type="dxa" w:w="140"/>
              <w:bottom w:type="dxa" w:w="100"/>
              <w:right w:type="dxa" w:w="140"/>
            </w:tcMar>
            <w:vAlign w:val="center"/>
          </w:tcPr>
          <w:p>
            <w:pPr>
              <w:jc w:val="center"/>
            </w:pPr>
            <w:r>
              <w:rPr>
                <w:b/>
                <w:bCs/>
                <w:color w:val="1E8449"/>
                <w:sz w:val="24"/>
                <w:szCs w:val="24"/>
              </w:rPr>
              <w:t xml:space="preserve">15</w:t>
            </w:r>
          </w:p>
        </w:tc>
        <w:tc>
          <w:tcPr>
            <w:tcW w:type="dxa" w:w="3400"/>
            <w:tcMar>
              <w:top w:type="dxa" w:w="100"/>
              <w:left w:type="dxa" w:w="140"/>
              <w:bottom w:type="dxa" w:w="100"/>
              <w:right w:type="dxa" w:w="140"/>
            </w:tcMar>
            <w:vAlign w:val="center"/>
          </w:tcPr>
          <w:p>
            <w:pPr>
              <w:jc w:val="left"/>
            </w:pPr>
            <w:r>
              <w:rPr>
                <w:b/>
                <w:bCs/>
                <w:color w:val="1B1B1B"/>
                <w:sz w:val="20"/>
                <w:szCs w:val="20"/>
              </w:rPr>
              <w:t xml:space="preserve">Autres programmes actifs (RPP, P&amp;S)</w:t>
            </w:r>
          </w:p>
        </w:tc>
        <w:tc>
          <w:tcPr>
            <w:tcW w:type="dxa" w:w="3160"/>
            <w:tcMar>
              <w:top w:type="dxa" w:w="100"/>
              <w:left w:type="dxa" w:w="140"/>
              <w:bottom w:type="dxa" w:w="100"/>
              <w:right w:type="dxa" w:w="140"/>
            </w:tcMar>
            <w:vAlign w:val="center"/>
          </w:tcPr>
          <w:p>
            <w:pPr>
              <w:jc w:val="left"/>
            </w:pPr>
            <w:r>
              <w:rPr>
                <w:b w:val="false"/>
                <w:bCs w:val="false"/>
                <w:color w:val="1B1B1B"/>
                <w:sz w:val="20"/>
                <w:szCs w:val="20"/>
              </w:rPr>
              <w:t xml:space="preserve">Bénéficier d'un accompagnement Tostan renforcé sur le terrain</w:t>
            </w:r>
          </w:p>
        </w:tc>
        <w:tc>
          <w:tcPr>
            <w:tcW w:type="dxa" w:w="1400"/>
            <w:tcMar>
              <w:top w:type="dxa" w:w="100"/>
              <w:left w:type="dxa" w:w="140"/>
              <w:bottom w:type="dxa" w:w="100"/>
              <w:right w:type="dxa" w:w="140"/>
            </w:tcMar>
            <w:vAlign w:val="center"/>
          </w:tcPr>
          <w:p>
            <w:pPr>
              <w:jc w:val="center"/>
            </w:pPr>
            <w:r>
              <w:rPr>
                <w:b w:val="false"/>
                <w:bCs w:val="false"/>
                <w:color w:val="1B1B1B"/>
                <w:sz w:val="20"/>
                <w:szCs w:val="20"/>
              </w:rPr>
              <w:t xml:space="preserve">15 %</w:t>
            </w:r>
          </w:p>
        </w:tc>
      </w:tr>
      <w:tr>
        <w:trPr>
          <w:cantSplit/>
        </w:trPr>
        <w:tc>
          <w:tcPr>
            <w:tcW w:type="dxa" w:w="1400"/>
            <w:shd w:fill="E8E8E8" w:val="clear"/>
            <w:tcMar>
              <w:top w:type="dxa" w:w="100"/>
              <w:left w:type="dxa" w:w="140"/>
              <w:bottom w:type="dxa" w:w="100"/>
              <w:right w:type="dxa" w:w="140"/>
            </w:tcMar>
            <w:vAlign w:val="center"/>
          </w:tcPr>
          <w:p>
            <w:pPr>
              <w:jc w:val="center"/>
            </w:pPr>
            <w:r>
              <w:rPr>
                <w:b/>
                <w:bCs/>
                <w:color w:val="1B1B1B"/>
                <w:sz w:val="24"/>
                <w:szCs w:val="24"/>
              </w:rPr>
              <w:t xml:space="preserve">100</w:t>
            </w:r>
          </w:p>
        </w:tc>
        <w:tc>
          <w:tcPr>
            <w:tcW w:type="dxa" w:w="3400"/>
            <w:shd w:fill="E8E8E8" w:val="clear"/>
            <w:tcMar>
              <w:top w:type="dxa" w:w="100"/>
              <w:left w:type="dxa" w:w="140"/>
              <w:bottom w:type="dxa" w:w="100"/>
              <w:right w:type="dxa" w:w="140"/>
            </w:tcMar>
            <w:vAlign w:val="center"/>
          </w:tcPr>
          <w:p>
            <w:pPr>
              <w:jc w:val="left"/>
            </w:pPr>
            <w:r>
              <w:rPr>
                <w:b/>
                <w:bCs/>
                <w:color w:val="1B1B1B"/>
                <w:sz w:val="20"/>
                <w:szCs w:val="20"/>
              </w:rPr>
              <w:t xml:space="preserve">Total</w:t>
            </w:r>
          </w:p>
        </w:tc>
        <w:tc>
          <w:tcPr>
            <w:tcW w:type="dxa" w:w="3160"/>
            <w:shd w:fill="E8E8E8" w:val="clear"/>
            <w:tcMar>
              <w:top w:type="dxa" w:w="100"/>
              <w:left w:type="dxa" w:w="140"/>
              <w:bottom w:type="dxa" w:w="100"/>
              <w:right w:type="dxa" w:w="140"/>
            </w:tcMar>
            <w:vAlign w:val="center"/>
          </w:tcPr>
          <w:p>
            <w:pPr>
              <w:jc w:val="left"/>
            </w:pPr>
            <w:r>
              <w:rPr>
                <w:b w:val="false"/>
                <w:bCs w:val="false"/>
                <w:color w:val="1B1B1B"/>
                <w:sz w:val="20"/>
                <w:szCs w:val="20"/>
              </w:rPr>
              <w:t xml:space="preserve"/>
            </w:r>
          </w:p>
        </w:tc>
        <w:tc>
          <w:tcPr>
            <w:tcW w:type="dxa" w:w="1400"/>
            <w:shd w:fill="E8E8E8" w:val="clear"/>
            <w:tcMar>
              <w:top w:type="dxa" w:w="100"/>
              <w:left w:type="dxa" w:w="140"/>
              <w:bottom w:type="dxa" w:w="100"/>
              <w:right w:type="dxa" w:w="140"/>
            </w:tcMar>
            <w:vAlign w:val="center"/>
          </w:tcPr>
          <w:p>
            <w:pPr>
              <w:jc w:val="center"/>
            </w:pPr>
            <w:r>
              <w:rPr>
                <w:b/>
                <w:bCs/>
                <w:color w:val="1B1B1B"/>
                <w:sz w:val="20"/>
                <w:szCs w:val="20"/>
              </w:rPr>
              <w:t xml:space="preserve">100 %</w:t>
            </w:r>
          </w:p>
        </w:tc>
      </w:tr>
    </w:tbl>
    <w:p>
      <w:pPr>
        <w:pStyle w:val="Heading2"/>
      </w:pPr>
      <w:r>
        <w:t xml:space="preserve">4.1 Application de la grille</w:t>
      </w:r>
    </w:p>
    <w:p>
      <w:pPr>
        <w:spacing w:after="160" w:line="300"/>
      </w:pPr>
      <w:r>
        <w:t xml:space="preserve">Dans chaque zone, une fois les communautés PRCC en cours retenues, les places restantes sont attribuées par ordre de score décroissant, jusqu'à atteindre le quota fixé pour la zone (141 pour la Zone 1, 59 pour la Zone 2, 100 pour la Zone 3).</w:t>
      </w:r>
    </w:p>
    <w:p>
      <w:pPr>
        <w:spacing w:after="160" w:line="300"/>
      </w:pPr>
      <w:r>
        <w:t xml:space="preserve">Une communauté qui obtiendrait, par exemple, un score de 30 points sur le critère PRCC (parce que son PRCC est terminé depuis quelques années plutôt qu'en cours), 25 points sur le critère jeunesse (population de jeunes importante mais pas maximale), 15 points sur la proximité et 10 points sur les autres programmes, totaliserait 80 points sur 100 — un score élevé qui la placerait favorablement dans le classement de sa zone.</w:t>
      </w:r>
    </w:p>
    <w:p>
      <w:r>
        <w:br w:type="page"/>
      </w:r>
    </w:p>
    <w:p>
      <w:pPr>
        <w:pStyle w:val="Heading1"/>
      </w:pPr>
      <w:r>
        <w:t xml:space="preserve">5. Résultats de la sélection</w:t>
      </w:r>
    </w:p>
    <w:p>
      <w:pPr>
        <w:spacing w:after="160" w:line="300"/>
      </w:pPr>
      <w:r>
        <w:t xml:space="preserve">L'application de cette méthodologie en deux temps — priorité PRCC en cours, puis notation sur 100 points — a permis d'aboutir à une sélection de 300 communautés couvrant un bassin total de 91 219 jeunes âgés de 15 à 35 ans.</w:t>
      </w:r>
    </w:p>
    <w:p>
      <w:pPr>
        <w:spacing w:after="120" w:before="200"/>
      </w:pPr>
      <w:r>
        <w:rPr>
          <w:b/>
          <w:bCs/>
          <w:color w:val="1B4332"/>
          <w:sz w:val="20"/>
          <w:szCs w:val="20"/>
        </w:rPr>
        <w:t xml:space="preserve">Tableau 3 — Répartition par région d'origine</w:t>
      </w:r>
    </w:p>
    <w:tbl>
      <w:tblPr>
        <w:tblW w:type="dxa" w:w="9360"/>
        <w:tblBorders>
          <w:top w:val="single" w:color="D9D9D9" w:sz="2"/>
          <w:left w:val="single" w:color="D9D9D9" w:sz="2"/>
          <w:bottom w:val="single" w:color="D9D9D9" w:sz="2"/>
          <w:right w:val="single" w:color="D9D9D9" w:sz="2"/>
          <w:insideH w:val="single" w:color="auto" w:sz="4"/>
          <w:insideV w:val="single" w:color="auto" w:sz="4"/>
        </w:tblBorders>
      </w:tblPr>
      <w:tblGrid>
        <w:gridCol w:w="3120"/>
        <w:gridCol w:w="3120"/>
        <w:gridCol w:w="3120"/>
      </w:tblGrid>
      <w:tr>
        <w:trPr>
          <w:tblHeader/>
        </w:trPr>
        <w:tc>
          <w:tcPr>
            <w:tcW w:type="dxa" w:w="3120"/>
            <w:shd w:fill="1B4332" w:val="clear"/>
            <w:tcMar>
              <w:top w:type="dxa" w:w="100"/>
              <w:left w:type="dxa" w:w="140"/>
              <w:bottom w:type="dxa" w:w="100"/>
              <w:right w:type="dxa" w:w="140"/>
            </w:tcMar>
            <w:vAlign w:val="center"/>
          </w:tcPr>
          <w:p>
            <w:pPr>
              <w:jc w:val="left"/>
            </w:pPr>
            <w:r>
              <w:rPr>
                <w:b/>
                <w:bCs/>
                <w:color w:val="FFFFFF"/>
                <w:sz w:val="20"/>
                <w:szCs w:val="20"/>
              </w:rPr>
              <w:t xml:space="preserve">Région</w:t>
            </w:r>
          </w:p>
        </w:tc>
        <w:tc>
          <w:tcPr>
            <w:tcW w:type="dxa" w:w="3120"/>
            <w:shd w:fill="1B4332" w:val="clear"/>
            <w:tcMar>
              <w:top w:type="dxa" w:w="100"/>
              <w:left w:type="dxa" w:w="140"/>
              <w:bottom w:type="dxa" w:w="100"/>
              <w:right w:type="dxa" w:w="140"/>
            </w:tcMar>
            <w:vAlign w:val="center"/>
          </w:tcPr>
          <w:p>
            <w:pPr>
              <w:jc w:val="left"/>
            </w:pPr>
            <w:r>
              <w:rPr>
                <w:b/>
                <w:bCs/>
                <w:color w:val="FFFFFF"/>
                <w:sz w:val="20"/>
                <w:szCs w:val="20"/>
              </w:rPr>
              <w:t xml:space="preserve">Zone d'appartenance</w:t>
            </w:r>
          </w:p>
        </w:tc>
        <w:tc>
          <w:tcPr>
            <w:tcW w:type="dxa" w:w="3120"/>
            <w:shd w:fill="1B4332" w:val="clear"/>
            <w:tcMar>
              <w:top w:type="dxa" w:w="100"/>
              <w:left w:type="dxa" w:w="140"/>
              <w:bottom w:type="dxa" w:w="100"/>
              <w:right w:type="dxa" w:w="140"/>
            </w:tcMar>
            <w:vAlign w:val="center"/>
          </w:tcPr>
          <w:p>
            <w:pPr>
              <w:jc w:val="center"/>
            </w:pPr>
            <w:r>
              <w:rPr>
                <w:b/>
                <w:bCs/>
                <w:color w:val="FFFFFF"/>
                <w:sz w:val="20"/>
                <w:szCs w:val="20"/>
              </w:rPr>
              <w:t xml:space="preserve">Communautés sélectionnées</w:t>
            </w:r>
          </w:p>
        </w:tc>
      </w:tr>
      <w:tr>
        <w:tc>
          <w:tcPr>
            <w:tcW w:type="dxa" w:w="3120"/>
            <w:shd w:fill="F4F7F5" w:val="clear"/>
            <w:tcMar>
              <w:top w:type="dxa" w:w="100"/>
              <w:left w:type="dxa" w:w="140"/>
              <w:bottom w:type="dxa" w:w="100"/>
              <w:right w:type="dxa" w:w="140"/>
            </w:tcMar>
            <w:vAlign w:val="center"/>
          </w:tcPr>
          <w:p>
            <w:pPr>
              <w:jc w:val="left"/>
            </w:pPr>
            <w:r>
              <w:rPr>
                <w:b w:val="false"/>
                <w:bCs w:val="false"/>
                <w:color w:val="1B1B1B"/>
                <w:sz w:val="20"/>
                <w:szCs w:val="20"/>
              </w:rPr>
              <w:t xml:space="preserve">Kolda</w:t>
            </w:r>
          </w:p>
        </w:tc>
        <w:tc>
          <w:tcPr>
            <w:tcW w:type="dxa" w:w="3120"/>
            <w:tcMar>
              <w:top w:type="dxa" w:w="100"/>
              <w:left w:type="dxa" w:w="140"/>
              <w:bottom w:type="dxa" w:w="100"/>
              <w:right w:type="dxa" w:w="140"/>
            </w:tcMar>
            <w:vAlign w:val="center"/>
          </w:tcPr>
          <w:p>
            <w:pPr>
              <w:jc w:val="left"/>
            </w:pPr>
            <w:r>
              <w:rPr>
                <w:b w:val="false"/>
                <w:bCs w:val="false"/>
                <w:color w:val="1B1B1B"/>
                <w:sz w:val="20"/>
                <w:szCs w:val="20"/>
              </w:rPr>
              <w:t xml:space="preserve">Zone 1</w:t>
            </w:r>
          </w:p>
        </w:tc>
        <w:tc>
          <w:tcPr>
            <w:tcW w:type="dxa" w:w="3120"/>
            <w:tcMar>
              <w:top w:type="dxa" w:w="100"/>
              <w:left w:type="dxa" w:w="140"/>
              <w:bottom w:type="dxa" w:w="100"/>
              <w:right w:type="dxa" w:w="140"/>
            </w:tcMar>
            <w:vAlign w:val="center"/>
          </w:tcPr>
          <w:p>
            <w:pPr>
              <w:jc w:val="center"/>
            </w:pPr>
            <w:r>
              <w:rPr>
                <w:b/>
                <w:bCs/>
                <w:color w:val="1B1B1B"/>
                <w:sz w:val="20"/>
                <w:szCs w:val="20"/>
              </w:rPr>
              <w:t xml:space="preserve">100</w:t>
            </w:r>
          </w:p>
        </w:tc>
      </w:tr>
      <w:tr>
        <w:tc>
          <w:tcPr>
            <w:tcW w:type="dxa" w:w="3120"/>
            <w:shd w:fill="F4F7F5" w:val="clear"/>
            <w:tcMar>
              <w:top w:type="dxa" w:w="100"/>
              <w:left w:type="dxa" w:w="140"/>
              <w:bottom w:type="dxa" w:w="100"/>
              <w:right w:type="dxa" w:w="140"/>
            </w:tcMar>
            <w:vAlign w:val="center"/>
          </w:tcPr>
          <w:p>
            <w:pPr>
              <w:jc w:val="left"/>
            </w:pPr>
            <w:r>
              <w:rPr>
                <w:b w:val="false"/>
                <w:bCs w:val="false"/>
                <w:color w:val="1B1B1B"/>
                <w:sz w:val="20"/>
                <w:szCs w:val="20"/>
              </w:rPr>
              <w:t xml:space="preserve">Sédhiou</w:t>
            </w:r>
          </w:p>
        </w:tc>
        <w:tc>
          <w:tcPr>
            <w:tcW w:type="dxa" w:w="3120"/>
            <w:tcMar>
              <w:top w:type="dxa" w:w="100"/>
              <w:left w:type="dxa" w:w="140"/>
              <w:bottom w:type="dxa" w:w="100"/>
              <w:right w:type="dxa" w:w="140"/>
            </w:tcMar>
            <w:vAlign w:val="center"/>
          </w:tcPr>
          <w:p>
            <w:pPr>
              <w:jc w:val="left"/>
            </w:pPr>
            <w:r>
              <w:rPr>
                <w:b w:val="false"/>
                <w:bCs w:val="false"/>
                <w:color w:val="1B1B1B"/>
                <w:sz w:val="20"/>
                <w:szCs w:val="20"/>
              </w:rPr>
              <w:t xml:space="preserve">Zone 1</w:t>
            </w:r>
          </w:p>
        </w:tc>
        <w:tc>
          <w:tcPr>
            <w:tcW w:type="dxa" w:w="3120"/>
            <w:tcMar>
              <w:top w:type="dxa" w:w="100"/>
              <w:left w:type="dxa" w:w="140"/>
              <w:bottom w:type="dxa" w:w="100"/>
              <w:right w:type="dxa" w:w="140"/>
            </w:tcMar>
            <w:vAlign w:val="center"/>
          </w:tcPr>
          <w:p>
            <w:pPr>
              <w:jc w:val="center"/>
            </w:pPr>
            <w:r>
              <w:rPr>
                <w:b/>
                <w:bCs/>
                <w:color w:val="1B1B1B"/>
                <w:sz w:val="20"/>
                <w:szCs w:val="20"/>
              </w:rPr>
              <w:t xml:space="preserve">41</w:t>
            </w:r>
          </w:p>
        </w:tc>
      </w:tr>
      <w:tr>
        <w:tc>
          <w:tcPr>
            <w:tcW w:type="dxa" w:w="3120"/>
            <w:shd w:fill="F4F7F5" w:val="clear"/>
            <w:tcMar>
              <w:top w:type="dxa" w:w="100"/>
              <w:left w:type="dxa" w:w="140"/>
              <w:bottom w:type="dxa" w:w="100"/>
              <w:right w:type="dxa" w:w="140"/>
            </w:tcMar>
            <w:vAlign w:val="center"/>
          </w:tcPr>
          <w:p>
            <w:pPr>
              <w:jc w:val="left"/>
            </w:pPr>
            <w:r>
              <w:rPr>
                <w:b w:val="false"/>
                <w:bCs w:val="false"/>
                <w:color w:val="1B1B1B"/>
                <w:sz w:val="20"/>
                <w:szCs w:val="20"/>
              </w:rPr>
              <w:t xml:space="preserve">Tambacounda</w:t>
            </w:r>
          </w:p>
        </w:tc>
        <w:tc>
          <w:tcPr>
            <w:tcW w:type="dxa" w:w="3120"/>
            <w:tcMar>
              <w:top w:type="dxa" w:w="100"/>
              <w:left w:type="dxa" w:w="140"/>
              <w:bottom w:type="dxa" w:w="100"/>
              <w:right w:type="dxa" w:w="140"/>
            </w:tcMar>
            <w:vAlign w:val="center"/>
          </w:tcPr>
          <w:p>
            <w:pPr>
              <w:jc w:val="left"/>
            </w:pPr>
            <w:r>
              <w:rPr>
                <w:b w:val="false"/>
                <w:bCs w:val="false"/>
                <w:color w:val="1B1B1B"/>
                <w:sz w:val="20"/>
                <w:szCs w:val="20"/>
              </w:rPr>
              <w:t xml:space="preserve">Zone 2</w:t>
            </w:r>
          </w:p>
        </w:tc>
        <w:tc>
          <w:tcPr>
            <w:tcW w:type="dxa" w:w="3120"/>
            <w:tcMar>
              <w:top w:type="dxa" w:w="100"/>
              <w:left w:type="dxa" w:w="140"/>
              <w:bottom w:type="dxa" w:w="100"/>
              <w:right w:type="dxa" w:w="140"/>
            </w:tcMar>
            <w:vAlign w:val="center"/>
          </w:tcPr>
          <w:p>
            <w:pPr>
              <w:jc w:val="center"/>
            </w:pPr>
            <w:r>
              <w:rPr>
                <w:b/>
                <w:bCs/>
                <w:color w:val="1B1B1B"/>
                <w:sz w:val="20"/>
                <w:szCs w:val="20"/>
              </w:rPr>
              <w:t xml:space="preserve">41</w:t>
            </w:r>
          </w:p>
        </w:tc>
      </w:tr>
      <w:tr>
        <w:tc>
          <w:tcPr>
            <w:tcW w:type="dxa" w:w="3120"/>
            <w:shd w:fill="F4F7F5" w:val="clear"/>
            <w:tcMar>
              <w:top w:type="dxa" w:w="100"/>
              <w:left w:type="dxa" w:w="140"/>
              <w:bottom w:type="dxa" w:w="100"/>
              <w:right w:type="dxa" w:w="140"/>
            </w:tcMar>
            <w:vAlign w:val="center"/>
          </w:tcPr>
          <w:p>
            <w:pPr>
              <w:jc w:val="left"/>
            </w:pPr>
            <w:r>
              <w:rPr>
                <w:b w:val="false"/>
                <w:bCs w:val="false"/>
                <w:color w:val="1B1B1B"/>
                <w:sz w:val="20"/>
                <w:szCs w:val="20"/>
              </w:rPr>
              <w:t xml:space="preserve">Kédougou</w:t>
            </w:r>
          </w:p>
        </w:tc>
        <w:tc>
          <w:tcPr>
            <w:tcW w:type="dxa" w:w="3120"/>
            <w:tcMar>
              <w:top w:type="dxa" w:w="100"/>
              <w:left w:type="dxa" w:w="140"/>
              <w:bottom w:type="dxa" w:w="100"/>
              <w:right w:type="dxa" w:w="140"/>
            </w:tcMar>
            <w:vAlign w:val="center"/>
          </w:tcPr>
          <w:p>
            <w:pPr>
              <w:jc w:val="left"/>
            </w:pPr>
            <w:r>
              <w:rPr>
                <w:b w:val="false"/>
                <w:bCs w:val="false"/>
                <w:color w:val="1B1B1B"/>
                <w:sz w:val="20"/>
                <w:szCs w:val="20"/>
              </w:rPr>
              <w:t xml:space="preserve">Zone 2</w:t>
            </w:r>
          </w:p>
        </w:tc>
        <w:tc>
          <w:tcPr>
            <w:tcW w:type="dxa" w:w="3120"/>
            <w:tcMar>
              <w:top w:type="dxa" w:w="100"/>
              <w:left w:type="dxa" w:w="140"/>
              <w:bottom w:type="dxa" w:w="100"/>
              <w:right w:type="dxa" w:w="140"/>
            </w:tcMar>
            <w:vAlign w:val="center"/>
          </w:tcPr>
          <w:p>
            <w:pPr>
              <w:jc w:val="center"/>
            </w:pPr>
            <w:r>
              <w:rPr>
                <w:b/>
                <w:bCs/>
                <w:color w:val="1B1B1B"/>
                <w:sz w:val="20"/>
                <w:szCs w:val="20"/>
              </w:rPr>
              <w:t xml:space="preserve">18</w:t>
            </w:r>
          </w:p>
        </w:tc>
      </w:tr>
      <w:tr>
        <w:tc>
          <w:tcPr>
            <w:tcW w:type="dxa" w:w="3120"/>
            <w:shd w:fill="F4F7F5" w:val="clear"/>
            <w:tcMar>
              <w:top w:type="dxa" w:w="100"/>
              <w:left w:type="dxa" w:w="140"/>
              <w:bottom w:type="dxa" w:w="100"/>
              <w:right w:type="dxa" w:w="140"/>
            </w:tcMar>
            <w:vAlign w:val="center"/>
          </w:tcPr>
          <w:p>
            <w:pPr>
              <w:jc w:val="left"/>
            </w:pPr>
            <w:r>
              <w:rPr>
                <w:b w:val="false"/>
                <w:bCs w:val="false"/>
                <w:color w:val="1B1B1B"/>
                <w:sz w:val="20"/>
                <w:szCs w:val="20"/>
              </w:rPr>
              <w:t xml:space="preserve">Matam</w:t>
            </w:r>
          </w:p>
        </w:tc>
        <w:tc>
          <w:tcPr>
            <w:tcW w:type="dxa" w:w="3120"/>
            <w:tcMar>
              <w:top w:type="dxa" w:w="100"/>
              <w:left w:type="dxa" w:w="140"/>
              <w:bottom w:type="dxa" w:w="100"/>
              <w:right w:type="dxa" w:w="140"/>
            </w:tcMar>
            <w:vAlign w:val="center"/>
          </w:tcPr>
          <w:p>
            <w:pPr>
              <w:jc w:val="left"/>
            </w:pPr>
            <w:r>
              <w:rPr>
                <w:b w:val="false"/>
                <w:bCs w:val="false"/>
                <w:color w:val="1B1B1B"/>
                <w:sz w:val="20"/>
                <w:szCs w:val="20"/>
              </w:rPr>
              <w:t xml:space="preserve">Zone 3</w:t>
            </w:r>
          </w:p>
        </w:tc>
        <w:tc>
          <w:tcPr>
            <w:tcW w:type="dxa" w:w="3120"/>
            <w:tcMar>
              <w:top w:type="dxa" w:w="100"/>
              <w:left w:type="dxa" w:w="140"/>
              <w:bottom w:type="dxa" w:w="100"/>
              <w:right w:type="dxa" w:w="140"/>
            </w:tcMar>
            <w:vAlign w:val="center"/>
          </w:tcPr>
          <w:p>
            <w:pPr>
              <w:jc w:val="center"/>
            </w:pPr>
            <w:r>
              <w:rPr>
                <w:b/>
                <w:bCs/>
                <w:color w:val="1B1B1B"/>
                <w:sz w:val="20"/>
                <w:szCs w:val="20"/>
              </w:rPr>
              <w:t xml:space="preserve">100</w:t>
            </w:r>
          </w:p>
        </w:tc>
      </w:tr>
      <w:tr>
        <w:tc>
          <w:tcPr>
            <w:tcW w:type="dxa" w:w="3120"/>
            <w:shd w:fill="E8E8E8" w:val="clear"/>
            <w:tcMar>
              <w:top w:type="dxa" w:w="100"/>
              <w:left w:type="dxa" w:w="140"/>
              <w:bottom w:type="dxa" w:w="100"/>
              <w:right w:type="dxa" w:w="140"/>
            </w:tcMar>
            <w:vAlign w:val="center"/>
          </w:tcPr>
          <w:p>
            <w:pPr>
              <w:jc w:val="left"/>
            </w:pPr>
            <w:r>
              <w:rPr>
                <w:b/>
                <w:bCs/>
                <w:color w:val="1B1B1B"/>
                <w:sz w:val="20"/>
                <w:szCs w:val="20"/>
              </w:rPr>
              <w:t xml:space="preserve">Total</w:t>
            </w:r>
          </w:p>
        </w:tc>
        <w:tc>
          <w:tcPr>
            <w:tcW w:type="dxa" w:w="3120"/>
            <w:shd w:fill="E8E8E8" w:val="clear"/>
            <w:tcMar>
              <w:top w:type="dxa" w:w="100"/>
              <w:left w:type="dxa" w:w="140"/>
              <w:bottom w:type="dxa" w:w="100"/>
              <w:right w:type="dxa" w:w="140"/>
            </w:tcMar>
            <w:vAlign w:val="center"/>
          </w:tcPr>
          <w:p>
            <w:pPr>
              <w:jc w:val="left"/>
            </w:pPr>
            <w:r>
              <w:rPr>
                <w:b w:val="false"/>
                <w:bCs w:val="false"/>
                <w:color w:val="1B1B1B"/>
                <w:sz w:val="20"/>
                <w:szCs w:val="20"/>
              </w:rPr>
              <w:t xml:space="preserve">3 zones</w:t>
            </w:r>
          </w:p>
        </w:tc>
        <w:tc>
          <w:tcPr>
            <w:tcW w:type="dxa" w:w="3120"/>
            <w:shd w:fill="E8E8E8" w:val="clear"/>
            <w:tcMar>
              <w:top w:type="dxa" w:w="100"/>
              <w:left w:type="dxa" w:w="140"/>
              <w:bottom w:type="dxa" w:w="100"/>
              <w:right w:type="dxa" w:w="140"/>
            </w:tcMar>
            <w:vAlign w:val="center"/>
          </w:tcPr>
          <w:p>
            <w:pPr>
              <w:jc w:val="center"/>
            </w:pPr>
            <w:r>
              <w:rPr>
                <w:b/>
                <w:bCs/>
                <w:color w:val="1B1B1B"/>
                <w:sz w:val="20"/>
                <w:szCs w:val="20"/>
              </w:rPr>
              <w:t xml:space="preserve">300</w:t>
            </w:r>
          </w:p>
        </w:tc>
      </w:tr>
    </w:tbl>
    <w:p>
      <w:pPr>
        <w:pStyle w:val="Heading2"/>
      </w:pPr>
      <w:r>
        <w:t xml:space="preserve">5.1 Indicateurs clés de la sélection</w:t>
      </w:r>
    </w:p>
    <w:p>
      <w:pPr>
        <w:pStyle w:val="ListParagraph"/>
        <w:numPr>
          <w:ilvl w:val="0"/>
          <w:numId w:val="2"/>
        </w:numPr>
        <w:spacing w:after="100" w:line="290"/>
      </w:pPr>
      <w:r>
        <w:t xml:space="preserve">300 communautés sélectionnées au total, réparties dans 3 zones opérationnelles</w:t>
      </w:r>
    </w:p>
    <w:p>
      <w:pPr>
        <w:pStyle w:val="ListParagraph"/>
        <w:numPr>
          <w:ilvl w:val="0"/>
          <w:numId w:val="2"/>
        </w:numPr>
        <w:spacing w:after="100" w:line="290"/>
      </w:pPr>
      <w:r>
        <w:t xml:space="preserve">91 219 jeunes de 15 à 35 ans estimés au sein de ces communautés</w:t>
      </w:r>
    </w:p>
    <w:p>
      <w:pPr>
        <w:pStyle w:val="ListParagraph"/>
        <w:numPr>
          <w:ilvl w:val="0"/>
          <w:numId w:val="2"/>
        </w:numPr>
        <w:spacing w:after="100" w:line="290"/>
      </w:pPr>
      <w:r>
        <w:t xml:space="preserve">45 communautés bénéficiant du statut prioritaire PRCC en cours (15 % de la sélection)</w:t>
      </w:r>
    </w:p>
    <w:p>
      <w:pPr>
        <w:pStyle w:val="ListParagraph"/>
        <w:numPr>
          <w:ilvl w:val="0"/>
          <w:numId w:val="2"/>
        </w:numPr>
        <w:spacing w:after="100" w:line="290"/>
      </w:pPr>
      <w:r>
        <w:t xml:space="preserve">Score moyen de sélection : 57 points sur 100</w:t>
      </w:r>
    </w:p>
    <w:p>
      <w:pPr>
        <w:pStyle w:val="ListParagraph"/>
        <w:numPr>
          <w:ilvl w:val="0"/>
          <w:numId w:val="2"/>
        </w:numPr>
        <w:spacing w:after="100" w:line="290"/>
      </w:pPr>
      <w:r>
        <w:t xml:space="preserve">Score maximum atteint : 80 points sur 100</w:t>
      </w:r>
    </w:p>
    <w:p>
      <w:pPr>
        <w:pStyle w:val="Heading1"/>
      </w:pPr>
      <w:r>
        <w:t xml:space="preserve">6. Validation et prochaines étapes</w:t>
      </w:r>
    </w:p>
    <w:p>
      <w:pPr>
        <w:spacing w:after="160" w:line="300"/>
      </w:pPr>
      <w:r>
        <w:t xml:space="preserve">Cette liste de 300 communautés constitue une proposition méthodologique qui doit encore être validée sur le terrain avant le démarrage effectif des activités JO'TALI.</w:t>
      </w:r>
    </w:p>
    <w:p>
      <w:pPr>
        <w:pStyle w:val="Heading2"/>
      </w:pPr>
      <w:r>
        <w:t xml:space="preserve">6.1 Étapes à venir</w:t>
      </w:r>
    </w:p>
    <w:p>
      <w:pPr>
        <w:pStyle w:val="ListParagraph"/>
        <w:numPr>
          <w:ilvl w:val="0"/>
          <w:numId w:val="2"/>
        </w:numPr>
        <w:spacing w:after="100" w:line="290"/>
      </w:pPr>
      <w:r>
        <w:t xml:space="preserve">Validation zonale — confirmer la disponibilité des relais et facilitateurs dans chaque communauté retenue</w:t>
      </w:r>
    </w:p>
    <w:p>
      <w:pPr>
        <w:pStyle w:val="ListParagraph"/>
        <w:numPr>
          <w:ilvl w:val="0"/>
          <w:numId w:val="2"/>
        </w:numPr>
        <w:spacing w:after="100" w:line="290"/>
      </w:pPr>
      <w:r>
        <w:t xml:space="preserve">Vérification terrain — ajuster la liste selon les réalités locales remontées par les coordinations zonales</w:t>
      </w:r>
    </w:p>
    <w:p>
      <w:pPr>
        <w:pStyle w:val="ListParagraph"/>
        <w:numPr>
          <w:ilvl w:val="0"/>
          <w:numId w:val="2"/>
        </w:numPr>
        <w:spacing w:after="100" w:line="290"/>
      </w:pPr>
      <w:r>
        <w:t xml:space="preserve">Organisation logistique — planifier les tournées et regroupements pour les premières activités</w:t>
      </w:r>
    </w:p>
    <w:p>
      <w:pPr>
        <w:pStyle w:val="ListParagraph"/>
        <w:numPr>
          <w:ilvl w:val="0"/>
          <w:numId w:val="2"/>
        </w:numPr>
        <w:spacing w:after="100" w:line="290"/>
      </w:pPr>
      <w:r>
        <w:t xml:space="preserve">Lancement JO'TALI — démarrer les activités sportives et de dialogue dans les communautés validées</w:t>
      </w:r>
    </w:p>
    <w:p>
      <w:pPr>
        <w:pBdr>
          <w:left w:val="single" w:color="1B4332" w:sz="18" w:space="12"/>
        </w:pBdr>
        <w:spacing w:after="200" w:before="200" w:line="300"/>
        <w:ind w:left="540" w:right="540"/>
      </w:pPr>
      <w:r>
        <w:rPr>
          <w:i/>
          <w:iCs/>
          <w:color w:val="2D6A4F"/>
          <w:sz w:val="22"/>
          <w:szCs w:val="22"/>
        </w:rPr>
        <w:t xml:space="preserve">« La validation finale revient aux coordinations zonales, qui confirment la disponibilité des relais et ajustent si besoin selon les réalités de terrain. »</w:t>
      </w:r>
    </w:p>
    <w:p>
      <w:pPr>
        <w:spacing w:before="400"/>
      </w:pPr>
    </w:p>
    <w:p>
      <w:pPr>
        <w:spacing w:before="200"/>
        <w:jc w:val="center"/>
      </w:pPr>
      <w:r>
        <w:rPr>
          <w:i/>
          <w:iCs/>
          <w:color w:val="1B4332"/>
          <w:sz w:val="24"/>
          <w:szCs w:val="24"/>
        </w:rPr>
        <w:t xml:space="preserve">« Un héritage n'est pas ce qui reste après les Jeux. C'est ce que les Jeux rendent possible.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tabs>
        <w:tab w:val="right" w:pos="9026"/>
      </w:tabs>
    </w:pPr>
    <w:r>
      <w:rPr>
        <w:color w:val="595959"/>
        <w:sz w:val="16"/>
        <w:szCs w:val="16"/>
      </w:rPr>
      <w:t xml:space="preserve">JO'TALI × Tostan 2026</w:t>
    </w:r>
    <w:r>
      <w:rPr>
        <w:color w:val="595959"/>
        <w:sz w:val="16"/>
        <w:szCs w:val="16"/>
      </w:rPr>
      <w:t xml:space="preserve">	Méthodologie de sélection des communautés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B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D9D9" w:sz="6" w:space="8"/>
      </w:pBdr>
      <w:spacing w:after="200" w:before="360"/>
      <w:outlineLvl w:val="0"/>
    </w:pPr>
    <w:rPr>
      <w:rFonts w:ascii="Cambria" w:cs="Cambria" w:eastAsia="Cambria" w:hAnsi="Cambria"/>
      <w:b/>
      <w:bCs/>
      <w:color w:val="1B4332"/>
      <w:sz w:val="32"/>
      <w:szCs w:val="32"/>
    </w:rPr>
  </w:style>
  <w:style w:type="paragraph" w:styleId="Heading2">
    <w:name w:val="Heading 2"/>
    <w:basedOn w:val="Normal"/>
    <w:next w:val="Normal"/>
    <w:qFormat/>
    <w:pPr>
      <w:spacing w:after="140" w:before="280"/>
      <w:outlineLvl w:val="1"/>
    </w:pPr>
    <w:rPr>
      <w:rFonts w:ascii="Cambria" w:cs="Cambria" w:eastAsia="Cambria" w:hAnsi="Cambria"/>
      <w:b/>
      <w:bCs/>
      <w:color w:val="2D6A4F"/>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B1B1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Méthodologie de sélection des communautés pilotes — JOJ × Tostan 2026</dc:title>
  <dc:creator>Tostan — JO'TALI</dc:creator>
  <cp:lastModifiedBy>Un-named</cp:lastModifiedBy>
  <cp:revision>1</cp:revision>
  <dcterms:created xsi:type="dcterms:W3CDTF">2026-06-30T16:56:50.824Z</dcterms:created>
  <dcterms:modified xsi:type="dcterms:W3CDTF">2026-06-30T16:56:50.824Z</dcterms:modified>
</cp:coreProperties>
</file>

<file path=docProps/custom.xml><?xml version="1.0" encoding="utf-8"?>
<Properties xmlns="http://schemas.openxmlformats.org/officeDocument/2006/custom-properties" xmlns:vt="http://schemas.openxmlformats.org/officeDocument/2006/docPropsVTypes"/>
</file>