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RFM Customer Segmentation &amp; Retention Analytics</w:t>
      </w:r>
    </w:p>
    <w:p>
      <w:pPr>
        <w:jc w:val="center"/>
      </w:pPr>
      <w:r>
        <w:rPr>
          <w:b/>
          <w:sz w:val="26"/>
        </w:rPr>
        <w:t>Complete SQL Methodology &amp; Business Logic Documentation</w:t>
      </w:r>
    </w:p>
    <w:p>
      <w:pPr>
        <w:jc w:val="center"/>
      </w:pPr>
      <w:r>
        <w:rPr>
          <w:sz w:val="20"/>
        </w:rPr>
        <w:t>MySQL 8.0 • Power BI • RFM Analysis • Retention Strategy</w:t>
        <w:br/>
      </w:r>
      <w:r>
        <w:rPr>
          <w:sz w:val="20"/>
        </w:rPr>
        <w:t>Author: Marina Kovacevic</w:t>
      </w:r>
    </w:p>
    <w:p/>
    <w:p>
      <w:r>
        <w:t>This document explains the SQL pipeline contained in RFM_Analysis_Final.sql, including data preparation, RFM calculations, scoring, segmentation, risk classification, executive KPIs, and the strategic marketing investment simulation.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project analyzes the UCI Online Retail dataset at customer level. The objective is to transform raw transactional data into actionable customer segments, identify customers showing recency-based risk, quantify revenue at risk, and simulate retention investment priorities.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Raw transactions</w:t>
            </w:r>
          </w:p>
        </w:tc>
        <w:tc>
          <w:tcPr>
            <w:tcW w:type="dxa" w:w="5040"/>
            <w:vAlign w:val="center"/>
          </w:tcPr>
          <w:p>
            <w:r>
              <w:t>541,909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 transactions</w:t>
            </w:r>
          </w:p>
        </w:tc>
        <w:tc>
          <w:tcPr>
            <w:tcW w:type="dxa" w:w="5040"/>
            <w:vAlign w:val="center"/>
          </w:tcPr>
          <w:p>
            <w:r>
              <w:t>397,880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Customers</w:t>
            </w:r>
          </w:p>
        </w:tc>
        <w:tc>
          <w:tcPr>
            <w:tcW w:type="dxa" w:w="5040"/>
            <w:vAlign w:val="center"/>
          </w:tcPr>
          <w:p>
            <w:r>
              <w:t>4,338</w:t>
            </w:r>
          </w:p>
        </w:tc>
      </w:tr>
      <w:tr>
        <w:tc>
          <w:tcPr>
            <w:tcW w:type="dxa" w:w="5040"/>
            <w:vAlign w:val="center"/>
          </w:tcPr>
          <w:p>
            <w:r>
              <w:t>Countries</w:t>
            </w:r>
          </w:p>
        </w:tc>
        <w:tc>
          <w:tcPr>
            <w:tcW w:type="dxa" w:w="5040"/>
            <w:vAlign w:val="center"/>
          </w:tcPr>
          <w:p>
            <w:r>
              <w:t>38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revenue</w:t>
            </w:r>
          </w:p>
        </w:tc>
        <w:tc>
          <w:tcPr>
            <w:tcW w:type="dxa" w:w="5040"/>
            <w:vAlign w:val="center"/>
          </w:tcPr>
          <w:p>
            <w:r>
              <w:t>£8,911,407.90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Champions</w:t>
            </w:r>
          </w:p>
        </w:tc>
        <w:tc>
          <w:tcPr>
            <w:tcW w:type="dxa" w:w="5040"/>
            <w:vAlign w:val="center"/>
          </w:tcPr>
          <w:p>
            <w:r>
              <w:t>558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Champions revenue share</w:t>
            </w:r>
          </w:p>
        </w:tc>
        <w:tc>
          <w:tcPr>
            <w:tcW w:type="dxa" w:w="5040"/>
            <w:vAlign w:val="center"/>
          </w:tcPr>
          <w:p>
            <w:r>
              <w:t>56.87%</w:t>
            </w:r>
          </w:p>
        </w:tc>
      </w:tr>
      <w:tr>
        <w:tc>
          <w:tcPr>
            <w:tcW w:type="dxa" w:w="5040"/>
            <w:vAlign w:val="center"/>
          </w:tcPr>
          <w:p>
            <w:r>
              <w:t>High-risk customers</w:t>
            </w:r>
          </w:p>
        </w:tc>
        <w:tc>
          <w:tcPr>
            <w:tcW w:type="dxa" w:w="5040"/>
            <w:vAlign w:val="center"/>
          </w:tcPr>
          <w:p>
            <w:r>
              <w:t>1,449</w:t>
            </w:r>
          </w:p>
        </w:tc>
      </w:tr>
      <w:tr>
        <w:tc>
          <w:tcPr>
            <w:tcW w:type="dxa" w:w="5040"/>
            <w:vAlign w:val="center"/>
          </w:tcPr>
          <w:p>
            <w:r>
              <w:t>Revenue at Risk</w:t>
            </w:r>
          </w:p>
        </w:tc>
        <w:tc>
          <w:tcPr>
            <w:tcW w:type="dxa" w:w="5040"/>
            <w:vAlign w:val="center"/>
          </w:tcPr>
          <w:p>
            <w:r>
              <w:t>£1,035,270.41 (11.62%)</w:t>
            </w:r>
          </w:p>
        </w:tc>
      </w:tr>
      <w:tr>
        <w:tc>
          <w:tcPr>
            <w:tcW w:type="dxa" w:w="5040"/>
            <w:vAlign w:val="center"/>
          </w:tcPr>
          <w:p>
            <w:r>
              <w:t>Portfolio churn risk</w:t>
            </w:r>
          </w:p>
        </w:tc>
        <w:tc>
          <w:tcPr>
            <w:tcW w:type="dxa" w:w="5040"/>
            <w:vAlign w:val="center"/>
          </w:tcPr>
          <w:p>
            <w:r>
              <w:t>6.22 — Warning</w:t>
            </w:r>
          </w:p>
        </w:tc>
      </w:tr>
    </w:tbl>
    <w:p>
      <w:pPr>
        <w:pStyle w:val="Heading1"/>
      </w:pPr>
      <w:r>
        <w:t>2. Analytical Architecture</w:t>
      </w:r>
    </w:p>
    <w:p>
      <w:r>
        <w:t>The SQL implementation follows a layered architecture: Bronze → Silver → Core Metrics → Gold → BI → Strategic.</w:t>
      </w:r>
    </w:p>
    <w:p>
      <w:pPr>
        <w:ind w:left="360" w:right="360"/>
      </w:pPr>
      <w:r>
        <w:rPr>
          <w:rFonts w:ascii="Consolas" w:hAnsi="Consolas"/>
          <w:sz w:val="17"/>
        </w:rPr>
        <w:t>RAW DATA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BRONZE: transactions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SILVER: fact_transactions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CORE: rfm_base → rfm_scores → rfm_scores_with_composite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GOLD: gold_customer_insights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BI: segment_summary + business_kpis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STRATEGIC: strategic_customer_actions</w:t>
        <w:br/>
      </w:r>
    </w:p>
    <w:p>
      <w:r>
        <w:t>Each view has a defined business purpose and is followed by validation queries in the SQL script.</w:t>
      </w:r>
    </w:p>
    <w:p>
      <w:pPr>
        <w:pStyle w:val="Heading1"/>
      </w:pPr>
      <w:r>
        <w:t>3. Dataset and Data Ingestion</w:t>
      </w:r>
    </w:p>
    <w:p>
      <w:r>
        <w:t>Source: UCI Online Retail Dataset distributed through Kaggle. The dataset covers December 2010 through December 2011 and contains 541,909 raw rows.</w:t>
      </w:r>
    </w:p>
    <w:p>
      <w:r>
        <w:t>The transactions table is designed as the raw Bronze-layer table.</w:t>
      </w:r>
    </w:p>
    <w:p>
      <w:pPr>
        <w:ind w:left="360" w:right="360"/>
      </w:pPr>
      <w:r>
        <w:rPr>
          <w:rFonts w:ascii="Consolas" w:hAnsi="Consolas"/>
          <w:sz w:val="17"/>
        </w:rPr>
        <w:t>CREATE TABLE transactions (</w:t>
        <w:br/>
      </w:r>
      <w:r>
        <w:rPr>
          <w:rFonts w:ascii="Consolas" w:hAnsi="Consolas"/>
          <w:sz w:val="17"/>
        </w:rPr>
        <w:t xml:space="preserve">    id_transactions INT NOT NULL AUTO_INCREMENT,</w:t>
        <w:br/>
      </w:r>
      <w:r>
        <w:rPr>
          <w:rFonts w:ascii="Consolas" w:hAnsi="Consolas"/>
          <w:sz w:val="17"/>
        </w:rPr>
        <w:t xml:space="preserve">    InvoiceNo VARCHAR(45) NULL,</w:t>
        <w:br/>
      </w:r>
      <w:r>
        <w:rPr>
          <w:rFonts w:ascii="Consolas" w:hAnsi="Consolas"/>
          <w:sz w:val="17"/>
        </w:rPr>
        <w:t xml:space="preserve">    StockCode VARCHAR(45) NULL,</w:t>
        <w:br/>
      </w:r>
      <w:r>
        <w:rPr>
          <w:rFonts w:ascii="Consolas" w:hAnsi="Consolas"/>
          <w:sz w:val="17"/>
        </w:rPr>
        <w:t xml:space="preserve">    Description VARCHAR(255) NULL,</w:t>
        <w:br/>
      </w:r>
      <w:r>
        <w:rPr>
          <w:rFonts w:ascii="Consolas" w:hAnsi="Consolas"/>
          <w:sz w:val="17"/>
        </w:rPr>
        <w:t xml:space="preserve">    Quantity INT NULL,</w:t>
        <w:br/>
      </w:r>
      <w:r>
        <w:rPr>
          <w:rFonts w:ascii="Consolas" w:hAnsi="Consolas"/>
          <w:sz w:val="17"/>
        </w:rPr>
        <w:t xml:space="preserve">    InvoiceDate VARCHAR(50) NULL,</w:t>
        <w:br/>
      </w:r>
      <w:r>
        <w:rPr>
          <w:rFonts w:ascii="Consolas" w:hAnsi="Consolas"/>
          <w:sz w:val="17"/>
        </w:rPr>
        <w:t xml:space="preserve">    UnitPrice DECIMAL(10,2) NULL,</w:t>
        <w:br/>
      </w:r>
      <w:r>
        <w:rPr>
          <w:rFonts w:ascii="Consolas" w:hAnsi="Consolas"/>
          <w:sz w:val="17"/>
        </w:rPr>
        <w:t xml:space="preserve">    CustomerID INT NULL,</w:t>
        <w:br/>
      </w:r>
      <w:r>
        <w:rPr>
          <w:rFonts w:ascii="Consolas" w:hAnsi="Consolas"/>
          <w:sz w:val="17"/>
        </w:rPr>
        <w:t xml:space="preserve">    Country VARCHAR(100) NULL,</w:t>
        <w:br/>
      </w:r>
      <w:r>
        <w:rPr>
          <w:rFonts w:ascii="Consolas" w:hAnsi="Consolas"/>
          <w:sz w:val="17"/>
        </w:rPr>
        <w:t xml:space="preserve">    PRIMARY KEY (id_transactions)</w:t>
        <w:br/>
      </w:r>
      <w:r>
        <w:rPr>
          <w:rFonts w:ascii="Consolas" w:hAnsi="Consolas"/>
          <w:sz w:val="17"/>
        </w:rPr>
        <w:t>);</w:t>
        <w:br/>
      </w:r>
    </w:p>
    <w:p>
      <w:r>
        <w:t>The script provides two LOAD DATA INFILE options: a custom folder requiring secure_file_priv configuration and the default MySQL Uploads folder.</w:t>
      </w:r>
    </w:p>
    <w:p>
      <w:pPr>
        <w:pStyle w:val="Heading1"/>
      </w:pPr>
      <w:r>
        <w:t>4. Section 2 — Data Preparation &amp; Cleaning</w:t>
      </w:r>
    </w:p>
    <w:p>
      <w:r>
        <w:t>The source InvoiceDate field is stored as VARCHAR. A clean DATETIME column is populated with STR_TO_DATE. Country values are also cleaned of Windows carriage-return characters.</w:t>
      </w:r>
    </w:p>
    <w:p>
      <w:pPr>
        <w:ind w:left="360" w:right="360"/>
      </w:pPr>
      <w:r>
        <w:rPr>
          <w:rFonts w:ascii="Consolas" w:hAnsi="Consolas"/>
          <w:sz w:val="17"/>
        </w:rPr>
        <w:t>UPDATE transactions</w:t>
        <w:br/>
      </w:r>
      <w:r>
        <w:rPr>
          <w:rFonts w:ascii="Consolas" w:hAnsi="Consolas"/>
          <w:sz w:val="17"/>
        </w:rPr>
        <w:t>SET InvoiceDate_clean = STR_TO_DATE(InvoiceDate, '%m/%d/%Y %H:%i')</w:t>
        <w:br/>
      </w:r>
      <w:r>
        <w:rPr>
          <w:rFonts w:ascii="Consolas" w:hAnsi="Consolas"/>
          <w:sz w:val="17"/>
        </w:rPr>
        <w:t>WHERE InvoiceDate IS NOT NULL</w:t>
        <w:br/>
      </w:r>
      <w:r>
        <w:rPr>
          <w:rFonts w:ascii="Consolas" w:hAnsi="Consolas"/>
          <w:sz w:val="17"/>
        </w:rPr>
        <w:t xml:space="preserve">  AND InvoiceDate != '';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UPDATE transactions</w:t>
        <w:br/>
      </w:r>
      <w:r>
        <w:rPr>
          <w:rFonts w:ascii="Consolas" w:hAnsi="Consolas"/>
          <w:sz w:val="17"/>
        </w:rPr>
        <w:t>SET Country = TRIM(REPLACE(Country, '\r', ''))</w:t>
        <w:br/>
      </w:r>
      <w:r>
        <w:rPr>
          <w:rFonts w:ascii="Consolas" w:hAnsi="Consolas"/>
          <w:sz w:val="17"/>
        </w:rPr>
        <w:t>WHERE Country LIKE '%\r%';</w:t>
        <w:br/>
      </w:r>
    </w:p>
    <w:p>
      <w:r>
        <w:t>Validation checks confirm date population and the number of distinct countries.</w:t>
      </w:r>
    </w:p>
    <w:p>
      <w:pPr>
        <w:pStyle w:val="Heading1"/>
      </w:pPr>
      <w:r>
        <w:t>5. Section 3 — fact_transactions (Silver Layer)</w:t>
      </w:r>
    </w:p>
    <w:p>
      <w:r>
        <w:t>fact_transactions is the clean analytical transaction view. It removes records that cannot be used for positive-sales RFM analysis.</w:t>
      </w:r>
    </w:p>
    <w:p>
      <w:pPr>
        <w:ind w:left="360" w:right="360"/>
      </w:pPr>
      <w:r>
        <w:rPr>
          <w:rFonts w:ascii="Consolas" w:hAnsi="Consolas"/>
          <w:sz w:val="17"/>
        </w:rPr>
        <w:t>CREATE OR REPLACE VIEW fact_transactions AS</w:t>
        <w:br/>
      </w:r>
      <w:r>
        <w:rPr>
          <w:rFonts w:ascii="Consolas" w:hAnsi="Consolas"/>
          <w:sz w:val="17"/>
        </w:rPr>
        <w:t>SELECT</w:t>
        <w:br/>
      </w:r>
      <w:r>
        <w:rPr>
          <w:rFonts w:ascii="Consolas" w:hAnsi="Consolas"/>
          <w:sz w:val="17"/>
        </w:rPr>
        <w:t xml:space="preserve">    InvoiceNo,</w:t>
        <w:br/>
      </w:r>
      <w:r>
        <w:rPr>
          <w:rFonts w:ascii="Consolas" w:hAnsi="Consolas"/>
          <w:sz w:val="17"/>
        </w:rPr>
        <w:t xml:space="preserve">    StockCode,</w:t>
        <w:br/>
      </w:r>
      <w:r>
        <w:rPr>
          <w:rFonts w:ascii="Consolas" w:hAnsi="Consolas"/>
          <w:sz w:val="17"/>
        </w:rPr>
        <w:t xml:space="preserve">    Description,</w:t>
        <w:br/>
      </w:r>
      <w:r>
        <w:rPr>
          <w:rFonts w:ascii="Consolas" w:hAnsi="Consolas"/>
          <w:sz w:val="17"/>
        </w:rPr>
        <w:t xml:space="preserve">    Quantity,</w:t>
        <w:br/>
      </w:r>
      <w:r>
        <w:rPr>
          <w:rFonts w:ascii="Consolas" w:hAnsi="Consolas"/>
          <w:sz w:val="17"/>
        </w:rPr>
        <w:t xml:space="preserve">    InvoiceDate_clean AS InvoiceDate,</w:t>
        <w:br/>
      </w:r>
      <w:r>
        <w:rPr>
          <w:rFonts w:ascii="Consolas" w:hAnsi="Consolas"/>
          <w:sz w:val="17"/>
        </w:rPr>
        <w:t xml:space="preserve">    UnitPrice,</w:t>
        <w:br/>
      </w:r>
      <w:r>
        <w:rPr>
          <w:rFonts w:ascii="Consolas" w:hAnsi="Consolas"/>
          <w:sz w:val="17"/>
        </w:rPr>
        <w:t xml:space="preserve">    CustomerID,</w:t>
        <w:br/>
      </w:r>
      <w:r>
        <w:rPr>
          <w:rFonts w:ascii="Consolas" w:hAnsi="Consolas"/>
          <w:sz w:val="17"/>
        </w:rPr>
        <w:t xml:space="preserve">    Country,</w:t>
        <w:br/>
      </w:r>
      <w:r>
        <w:rPr>
          <w:rFonts w:ascii="Consolas" w:hAnsi="Consolas"/>
          <w:sz w:val="17"/>
        </w:rPr>
        <w:t xml:space="preserve">    ROUND(Quantity * UnitPrice, 2) AS total_amount</w:t>
        <w:br/>
      </w:r>
      <w:r>
        <w:rPr>
          <w:rFonts w:ascii="Consolas" w:hAnsi="Consolas"/>
          <w:sz w:val="17"/>
        </w:rPr>
        <w:t>FROM transactions</w:t>
        <w:br/>
      </w:r>
      <w:r>
        <w:rPr>
          <w:rFonts w:ascii="Consolas" w:hAnsi="Consolas"/>
          <w:sz w:val="17"/>
        </w:rPr>
        <w:t>WHERE CustomerID IS NOT NULL</w:t>
        <w:br/>
      </w:r>
      <w:r>
        <w:rPr>
          <w:rFonts w:ascii="Consolas" w:hAnsi="Consolas"/>
          <w:sz w:val="17"/>
        </w:rPr>
        <w:t xml:space="preserve">  AND Quantity &gt; 0</w:t>
        <w:br/>
      </w:r>
      <w:r>
        <w:rPr>
          <w:rFonts w:ascii="Consolas" w:hAnsi="Consolas"/>
          <w:sz w:val="17"/>
        </w:rPr>
        <w:t xml:space="preserve">  AND UnitPrice &gt; 0</w:t>
        <w:br/>
      </w:r>
      <w:r>
        <w:rPr>
          <w:rFonts w:ascii="Consolas" w:hAnsi="Consolas"/>
          <w:sz w:val="17"/>
        </w:rPr>
        <w:t xml:space="preserve">  AND InvoiceDate_clean IS NOT NULL;</w:t>
        <w:br/>
      </w:r>
    </w:p>
    <w:p>
      <w:pPr>
        <w:pStyle w:val="ListBullet"/>
      </w:pPr>
      <w:r>
        <w:t>NULL CustomerID rows are excluded because they cannot be attributed to a customer.</w:t>
      </w:r>
    </w:p>
    <w:p>
      <w:pPr>
        <w:pStyle w:val="ListBullet"/>
      </w:pPr>
      <w:r>
        <w:t>Negative or zero quantities are excluded from the positive-sales analysis.</w:t>
      </w:r>
    </w:p>
    <w:p>
      <w:pPr>
        <w:pStyle w:val="ListBullet"/>
      </w:pPr>
      <w:r>
        <w:t>Zero or negative unit prices are excluded.</w:t>
      </w:r>
    </w:p>
    <w:p>
      <w:pPr>
        <w:pStyle w:val="ListBullet"/>
      </w:pPr>
      <w:r>
        <w:t>Rows without a valid cleaned date are excluded.</w:t>
      </w:r>
    </w:p>
    <w:p>
      <w:pPr>
        <w:pStyle w:val="ListBullet"/>
      </w:pPr>
      <w:r>
        <w:t>Expected analytical volume: approximately 397,880 valid rows.</w:t>
      </w:r>
    </w:p>
    <w:p>
      <w:pPr>
        <w:pStyle w:val="Heading1"/>
      </w:pPr>
      <w:r>
        <w:t>6. Section 4 — RFM Base Metrics</w:t>
      </w:r>
    </w:p>
    <w:p>
      <w:r>
        <w:t>RFM metrics are calculated per customer using the maximum invoice date in the cleaned dataset as the reference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SQL logic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Recency</w:t>
            </w:r>
          </w:p>
        </w:tc>
        <w:tc>
          <w:tcPr>
            <w:tcW w:type="dxa" w:w="3360"/>
            <w:vAlign w:val="center"/>
          </w:tcPr>
          <w:p>
            <w:r>
              <w:t>DATEDIFF(MAX dataset date, MAX customer date)</w:t>
            </w:r>
          </w:p>
        </w:tc>
        <w:tc>
          <w:tcPr>
            <w:tcW w:type="dxa" w:w="3360"/>
            <w:vAlign w:val="center"/>
          </w:tcPr>
          <w:p>
            <w:r>
              <w:t>Days since last purchase</w:t>
            </w:r>
          </w:p>
        </w:tc>
      </w:tr>
      <w:tr>
        <w:tc>
          <w:tcPr>
            <w:tcW w:type="dxa" w:w="3360"/>
            <w:vAlign w:val="center"/>
          </w:tcPr>
          <w:p>
            <w:r>
              <w:t>Frequency</w:t>
            </w:r>
          </w:p>
        </w:tc>
        <w:tc>
          <w:tcPr>
            <w:tcW w:type="dxa" w:w="3360"/>
            <w:vAlign w:val="center"/>
          </w:tcPr>
          <w:p>
            <w:r>
              <w:t>COUNT(DISTINCT InvoiceNo)</w:t>
            </w:r>
          </w:p>
        </w:tc>
        <w:tc>
          <w:tcPr>
            <w:tcW w:type="dxa" w:w="3360"/>
            <w:vAlign w:val="center"/>
          </w:tcPr>
          <w:p>
            <w:r>
              <w:t>Number of unique orders</w:t>
            </w:r>
          </w:p>
        </w:tc>
      </w:tr>
      <w:tr>
        <w:tc>
          <w:tcPr>
            <w:tcW w:type="dxa" w:w="3360"/>
            <w:vAlign w:val="center"/>
          </w:tcPr>
          <w:p>
            <w:r>
              <w:t>Monetary</w:t>
            </w:r>
          </w:p>
        </w:tc>
        <w:tc>
          <w:tcPr>
            <w:tcW w:type="dxa" w:w="3360"/>
            <w:vAlign w:val="center"/>
          </w:tcPr>
          <w:p>
            <w:r>
              <w:t>SUM(total_amount)</w:t>
            </w:r>
          </w:p>
        </w:tc>
        <w:tc>
          <w:tcPr>
            <w:tcW w:type="dxa" w:w="3360"/>
            <w:vAlign w:val="center"/>
          </w:tcPr>
          <w:p>
            <w:r>
              <w:t>Total customer spend</w:t>
            </w:r>
          </w:p>
        </w:tc>
      </w:tr>
    </w:tbl>
    <w:p>
      <w:pPr>
        <w:ind w:left="360" w:right="360"/>
      </w:pPr>
      <w:r>
        <w:rPr>
          <w:rFonts w:ascii="Consolas" w:hAnsi="Consolas"/>
          <w:sz w:val="17"/>
        </w:rPr>
        <w:t>WITH reference_context AS (</w:t>
        <w:br/>
      </w:r>
      <w:r>
        <w:rPr>
          <w:rFonts w:ascii="Consolas" w:hAnsi="Consolas"/>
          <w:sz w:val="17"/>
        </w:rPr>
        <w:t xml:space="preserve">    SELECT MAX(InvoiceDate) AS max_invoice_date</w:t>
        <w:br/>
      </w:r>
      <w:r>
        <w:rPr>
          <w:rFonts w:ascii="Consolas" w:hAnsi="Consolas"/>
          <w:sz w:val="17"/>
        </w:rPr>
        <w:t xml:space="preserve">    FROM fact_transactions</w:t>
        <w:br/>
      </w:r>
      <w:r>
        <w:rPr>
          <w:rFonts w:ascii="Consolas" w:hAnsi="Consolas"/>
          <w:sz w:val="17"/>
        </w:rPr>
        <w:t>),</w:t>
        <w:br/>
      </w:r>
      <w:r>
        <w:rPr>
          <w:rFonts w:ascii="Consolas" w:hAnsi="Consolas"/>
          <w:sz w:val="17"/>
        </w:rPr>
        <w:t>customer_metrics AS (</w:t>
        <w:br/>
      </w:r>
      <w:r>
        <w:rPr>
          <w:rFonts w:ascii="Consolas" w:hAnsi="Consolas"/>
          <w:sz w:val="17"/>
        </w:rPr>
        <w:t xml:space="preserve">    SELECT</w:t>
        <w:br/>
      </w:r>
      <w:r>
        <w:rPr>
          <w:rFonts w:ascii="Consolas" w:hAnsi="Consolas"/>
          <w:sz w:val="17"/>
        </w:rPr>
        <w:t xml:space="preserve">        CustomerID,</w:t>
        <w:br/>
      </w:r>
      <w:r>
        <w:rPr>
          <w:rFonts w:ascii="Consolas" w:hAnsi="Consolas"/>
          <w:sz w:val="17"/>
        </w:rPr>
        <w:t xml:space="preserve">        MAX(InvoiceDate) AS last_purchase_date,</w:t>
        <w:br/>
      </w:r>
      <w:r>
        <w:rPr>
          <w:rFonts w:ascii="Consolas" w:hAnsi="Consolas"/>
          <w:sz w:val="17"/>
        </w:rPr>
        <w:t xml:space="preserve">        DATEDIFF(</w:t>
        <w:br/>
      </w:r>
      <w:r>
        <w:rPr>
          <w:rFonts w:ascii="Consolas" w:hAnsi="Consolas"/>
          <w:sz w:val="17"/>
        </w:rPr>
        <w:t xml:space="preserve">            (SELECT max_invoice_date FROM reference_context),</w:t>
        <w:br/>
      </w:r>
      <w:r>
        <w:rPr>
          <w:rFonts w:ascii="Consolas" w:hAnsi="Consolas"/>
          <w:sz w:val="17"/>
        </w:rPr>
        <w:t xml:space="preserve">            MAX(InvoiceDate)</w:t>
        <w:br/>
      </w:r>
      <w:r>
        <w:rPr>
          <w:rFonts w:ascii="Consolas" w:hAnsi="Consolas"/>
          <w:sz w:val="17"/>
        </w:rPr>
        <w:t xml:space="preserve">        ) AS Recency,</w:t>
        <w:br/>
      </w:r>
      <w:r>
        <w:rPr>
          <w:rFonts w:ascii="Consolas" w:hAnsi="Consolas"/>
          <w:sz w:val="17"/>
        </w:rPr>
        <w:t xml:space="preserve">        COUNT(DISTINCT InvoiceNo) AS Frequency,</w:t>
        <w:br/>
      </w:r>
      <w:r>
        <w:rPr>
          <w:rFonts w:ascii="Consolas" w:hAnsi="Consolas"/>
          <w:sz w:val="17"/>
        </w:rPr>
        <w:t xml:space="preserve">        ROUND(SUM(total_amount), 2) AS Monetary</w:t>
        <w:br/>
      </w:r>
      <w:r>
        <w:rPr>
          <w:rFonts w:ascii="Consolas" w:hAnsi="Consolas"/>
          <w:sz w:val="17"/>
        </w:rPr>
        <w:t xml:space="preserve">    FROM fact_transactions</w:t>
        <w:br/>
      </w:r>
      <w:r>
        <w:rPr>
          <w:rFonts w:ascii="Consolas" w:hAnsi="Consolas"/>
          <w:sz w:val="17"/>
        </w:rPr>
        <w:t xml:space="preserve">    GROUP BY CustomerID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SELECT * FROM customer_metrics;</w:t>
        <w:br/>
      </w:r>
    </w:p>
    <w:p>
      <w:r>
        <w:t>Using the dataset's own maximum transaction date makes Recency dynamic to the data rather than dependent on the current calendar date.</w:t>
      </w:r>
    </w:p>
    <w:p>
      <w:pPr>
        <w:pStyle w:val="Heading1"/>
      </w:pPr>
      <w:r>
        <w:t>7. Section 5 — Fixed RFM Scoring</w:t>
      </w:r>
    </w:p>
    <w:p>
      <w:r>
        <w:t>The project uses fixed thresholds rather than percentile or NTILE scoring. This makes the business rules easy to explain and stable when the dataset distribution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Recency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Monetary</w:t>
            </w:r>
          </w:p>
        </w:tc>
      </w:tr>
      <w:tr>
        <w:tc>
          <w:tcPr>
            <w:tcW w:type="dxa" w:w="2520"/>
            <w:vAlign w:val="center"/>
          </w:tcPr>
          <w:p>
            <w:r>
              <w:t>4 — Excellent</w:t>
            </w:r>
          </w:p>
        </w:tc>
        <w:tc>
          <w:tcPr>
            <w:tcW w:type="dxa" w:w="2520"/>
            <w:vAlign w:val="center"/>
          </w:tcPr>
          <w:p>
            <w:r>
              <w:t>≤ 30 days</w:t>
            </w:r>
          </w:p>
        </w:tc>
        <w:tc>
          <w:tcPr>
            <w:tcW w:type="dxa" w:w="2520"/>
            <w:vAlign w:val="center"/>
          </w:tcPr>
          <w:p>
            <w:r>
              <w:t>≥ 10 orders</w:t>
            </w:r>
          </w:p>
        </w:tc>
        <w:tc>
          <w:tcPr>
            <w:tcW w:type="dxa" w:w="2520"/>
            <w:vAlign w:val="center"/>
          </w:tcPr>
          <w:p>
            <w:r>
              <w:t>≥ £5,000</w:t>
            </w:r>
          </w:p>
        </w:tc>
      </w:tr>
      <w:tr>
        <w:tc>
          <w:tcPr>
            <w:tcW w:type="dxa" w:w="2520"/>
            <w:vAlign w:val="center"/>
          </w:tcPr>
          <w:p>
            <w:r>
              <w:t>3 — Good</w:t>
            </w:r>
          </w:p>
        </w:tc>
        <w:tc>
          <w:tcPr>
            <w:tcW w:type="dxa" w:w="2520"/>
            <w:vAlign w:val="center"/>
          </w:tcPr>
          <w:p>
            <w:r>
              <w:t>31–90 days</w:t>
            </w:r>
          </w:p>
        </w:tc>
        <w:tc>
          <w:tcPr>
            <w:tcW w:type="dxa" w:w="2520"/>
            <w:vAlign w:val="center"/>
          </w:tcPr>
          <w:p>
            <w:r>
              <w:t>5–9 orders</w:t>
            </w:r>
          </w:p>
        </w:tc>
        <w:tc>
          <w:tcPr>
            <w:tcW w:type="dxa" w:w="2520"/>
            <w:vAlign w:val="center"/>
          </w:tcPr>
          <w:p>
            <w:r>
              <w:t>£2,000–4,999</w:t>
            </w:r>
          </w:p>
        </w:tc>
      </w:tr>
      <w:tr>
        <w:tc>
          <w:tcPr>
            <w:tcW w:type="dxa" w:w="2520"/>
            <w:vAlign w:val="center"/>
          </w:tcPr>
          <w:p>
            <w:r>
              <w:t>2 — Fair</w:t>
            </w:r>
          </w:p>
        </w:tc>
        <w:tc>
          <w:tcPr>
            <w:tcW w:type="dxa" w:w="2520"/>
            <w:vAlign w:val="center"/>
          </w:tcPr>
          <w:p>
            <w:r>
              <w:t>91–180 days</w:t>
            </w:r>
          </w:p>
        </w:tc>
        <w:tc>
          <w:tcPr>
            <w:tcW w:type="dxa" w:w="2520"/>
            <w:vAlign w:val="center"/>
          </w:tcPr>
          <w:p>
            <w:r>
              <w:t>2–4 orders</w:t>
            </w:r>
          </w:p>
        </w:tc>
        <w:tc>
          <w:tcPr>
            <w:tcW w:type="dxa" w:w="2520"/>
            <w:vAlign w:val="center"/>
          </w:tcPr>
          <w:p>
            <w:r>
              <w:t>£500–1,999</w:t>
            </w:r>
          </w:p>
        </w:tc>
      </w:tr>
      <w:tr>
        <w:tc>
          <w:tcPr>
            <w:tcW w:type="dxa" w:w="2520"/>
            <w:vAlign w:val="center"/>
          </w:tcPr>
          <w:p>
            <w:r>
              <w:t>1 — Poor</w:t>
            </w:r>
          </w:p>
        </w:tc>
        <w:tc>
          <w:tcPr>
            <w:tcW w:type="dxa" w:w="2520"/>
            <w:vAlign w:val="center"/>
          </w:tcPr>
          <w:p>
            <w:r>
              <w:t>&gt; 180 days</w:t>
            </w:r>
          </w:p>
        </w:tc>
        <w:tc>
          <w:tcPr>
            <w:tcW w:type="dxa" w:w="2520"/>
            <w:vAlign w:val="center"/>
          </w:tcPr>
          <w:p>
            <w:r>
              <w:t>1 order</w:t>
            </w:r>
          </w:p>
        </w:tc>
        <w:tc>
          <w:tcPr>
            <w:tcW w:type="dxa" w:w="2520"/>
            <w:vAlign w:val="center"/>
          </w:tcPr>
          <w:p>
            <w:r>
              <w:t>&lt; £500</w:t>
            </w:r>
          </w:p>
        </w:tc>
      </w:tr>
    </w:tbl>
    <w:p>
      <w:r>
        <w:t>Recency is inverse-scored: fewer days since purchase receives a higher score. Frequency and Monetary are positively scored: higher activity and spend receive higher scores.</w:t>
      </w:r>
    </w:p>
    <w:p>
      <w:pPr>
        <w:pStyle w:val="Heading1"/>
      </w:pPr>
      <w:r>
        <w:t>8. Composite RFM Score</w:t>
      </w:r>
    </w:p>
    <w:p>
      <w:pPr>
        <w:ind w:left="360" w:right="360"/>
      </w:pPr>
      <w:r>
        <w:rPr>
          <w:rFonts w:ascii="Consolas" w:hAnsi="Consolas"/>
          <w:sz w:val="17"/>
        </w:rPr>
        <w:t>RFM Composite = R × 0.30 + F × 0.35 + M × 0.35</w:t>
        <w:br/>
      </w:r>
    </w:p>
    <w:p>
      <w:r>
        <w:t>Frequency and Monetary each receive 35% weight, while Recency receives 30%. The resulting score is rounded to two decimals and labeled Excellent, Good, Fair, or Poor.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Composite score</w:t>
            </w:r>
          </w:p>
        </w:tc>
      </w:tr>
      <w:tr>
        <w:tc>
          <w:tcPr>
            <w:tcW w:type="dxa" w:w="5040"/>
            <w:vAlign w:val="center"/>
          </w:tcPr>
          <w:p>
            <w:r>
              <w:t>Excellent</w:t>
            </w:r>
          </w:p>
        </w:tc>
        <w:tc>
          <w:tcPr>
            <w:tcW w:type="dxa" w:w="5040"/>
            <w:vAlign w:val="center"/>
          </w:tcPr>
          <w:p>
            <w:r>
              <w:t>≥ 3.5</w:t>
            </w:r>
          </w:p>
        </w:tc>
      </w:tr>
      <w:tr>
        <w:tc>
          <w:tcPr>
            <w:tcW w:type="dxa" w:w="5040"/>
            <w:vAlign w:val="center"/>
          </w:tcPr>
          <w:p>
            <w:r>
              <w:t>Good</w:t>
            </w:r>
          </w:p>
        </w:tc>
        <w:tc>
          <w:tcPr>
            <w:tcW w:type="dxa" w:w="5040"/>
            <w:vAlign w:val="center"/>
          </w:tcPr>
          <w:p>
            <w:r>
              <w:t>≥ 2.5 and &lt; 3.5</w:t>
            </w:r>
          </w:p>
        </w:tc>
      </w:tr>
      <w:tr>
        <w:tc>
          <w:tcPr>
            <w:tcW w:type="dxa" w:w="5040"/>
            <w:vAlign w:val="center"/>
          </w:tcPr>
          <w:p>
            <w:r>
              <w:t>Fair</w:t>
            </w:r>
          </w:p>
        </w:tc>
        <w:tc>
          <w:tcPr>
            <w:tcW w:type="dxa" w:w="5040"/>
            <w:vAlign w:val="center"/>
          </w:tcPr>
          <w:p>
            <w:r>
              <w:t>≥ 1.5 and &lt; 2.5</w:t>
            </w:r>
          </w:p>
        </w:tc>
      </w:tr>
      <w:tr>
        <w:tc>
          <w:tcPr>
            <w:tcW w:type="dxa" w:w="5040"/>
            <w:vAlign w:val="center"/>
          </w:tcPr>
          <w:p>
            <w:r>
              <w:t>Poor</w:t>
            </w:r>
          </w:p>
        </w:tc>
        <w:tc>
          <w:tcPr>
            <w:tcW w:type="dxa" w:w="5040"/>
            <w:vAlign w:val="center"/>
          </w:tcPr>
          <w:p>
            <w:r>
              <w:t>&lt; 1.5</w:t>
            </w:r>
          </w:p>
        </w:tc>
      </w:tr>
    </w:tbl>
    <w:p>
      <w:pPr>
        <w:pStyle w:val="Heading1"/>
      </w:pPr>
      <w:r>
        <w:t>9. Section 6 — Gold Customer Insights</w:t>
      </w:r>
    </w:p>
    <w:p>
      <w:r>
        <w:t>gold_customer_insights converts the analytical scores into business dimensions: segment, value tier, risk group, marketing action, and churn risk.</w:t>
      </w:r>
    </w:p>
    <w:p>
      <w:pPr>
        <w:pStyle w:val="Heading2"/>
      </w:pPr>
      <w:r>
        <w:t>9.1 Customer Segmentation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Business rule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Champions</w:t>
            </w:r>
          </w:p>
        </w:tc>
        <w:tc>
          <w:tcPr>
            <w:tcW w:type="dxa" w:w="5040"/>
            <w:vAlign w:val="center"/>
          </w:tcPr>
          <w:p>
            <w:r>
              <w:t>R=4, F≥3, M≥3</w:t>
            </w:r>
          </w:p>
        </w:tc>
      </w:tr>
      <w:tr>
        <w:tc>
          <w:tcPr>
            <w:tcW w:type="dxa" w:w="5040"/>
            <w:vAlign w:val="center"/>
          </w:tcPr>
          <w:p>
            <w:r>
              <w:t>Loyal Customers</w:t>
            </w:r>
          </w:p>
        </w:tc>
        <w:tc>
          <w:tcPr>
            <w:tcW w:type="dxa" w:w="5040"/>
            <w:vAlign w:val="center"/>
          </w:tcPr>
          <w:p>
            <w:r>
              <w:t>F≥3, M≥3</w:t>
            </w:r>
          </w:p>
        </w:tc>
      </w:tr>
      <w:tr>
        <w:tc>
          <w:tcPr>
            <w:tcW w:type="dxa" w:w="5040"/>
            <w:vAlign w:val="center"/>
          </w:tcPr>
          <w:p>
            <w:r>
              <w:t>New Customers</w:t>
            </w:r>
          </w:p>
        </w:tc>
        <w:tc>
          <w:tcPr>
            <w:tcW w:type="dxa" w:w="5040"/>
            <w:vAlign w:val="center"/>
          </w:tcPr>
          <w:p>
            <w:r>
              <w:t>R=4, F≤2</w:t>
            </w:r>
          </w:p>
        </w:tc>
      </w:tr>
      <w:tr>
        <w:tc>
          <w:tcPr>
            <w:tcW w:type="dxa" w:w="5040"/>
            <w:vAlign w:val="center"/>
          </w:tcPr>
          <w:p>
            <w:r>
              <w:t>Potential Loyalists</w:t>
            </w:r>
          </w:p>
        </w:tc>
        <w:tc>
          <w:tcPr>
            <w:tcW w:type="dxa" w:w="5040"/>
            <w:vAlign w:val="center"/>
          </w:tcPr>
          <w:p>
            <w:r>
              <w:t>R≥3, F=2</w:t>
            </w:r>
          </w:p>
        </w:tc>
      </w:tr>
      <w:tr>
        <w:tc>
          <w:tcPr>
            <w:tcW w:type="dxa" w:w="5040"/>
            <w:vAlign w:val="center"/>
          </w:tcPr>
          <w:p>
            <w:r>
              <w:t>At Risk</w:t>
            </w:r>
          </w:p>
        </w:tc>
        <w:tc>
          <w:tcPr>
            <w:tcW w:type="dxa" w:w="5040"/>
            <w:vAlign w:val="center"/>
          </w:tcPr>
          <w:p>
            <w:r>
              <w:t>R≤2, F≥3</w:t>
            </w:r>
          </w:p>
        </w:tc>
      </w:tr>
      <w:tr>
        <w:tc>
          <w:tcPr>
            <w:tcW w:type="dxa" w:w="5040"/>
            <w:vAlign w:val="center"/>
          </w:tcPr>
          <w:p>
            <w:r>
              <w:t>Lost High Value</w:t>
            </w:r>
          </w:p>
        </w:tc>
        <w:tc>
          <w:tcPr>
            <w:tcW w:type="dxa" w:w="5040"/>
            <w:vAlign w:val="center"/>
          </w:tcPr>
          <w:p>
            <w:r>
              <w:t>R=1, M≥3</w:t>
            </w:r>
          </w:p>
        </w:tc>
      </w:tr>
      <w:tr>
        <w:tc>
          <w:tcPr>
            <w:tcW w:type="dxa" w:w="5040"/>
            <w:vAlign w:val="center"/>
          </w:tcPr>
          <w:p>
            <w:r>
              <w:t>Lost</w:t>
            </w:r>
          </w:p>
        </w:tc>
        <w:tc>
          <w:tcPr>
            <w:tcW w:type="dxa" w:w="5040"/>
            <w:vAlign w:val="center"/>
          </w:tcPr>
          <w:p>
            <w:r>
              <w:t>R=1</w:t>
            </w:r>
          </w:p>
        </w:tc>
      </w:tr>
      <w:tr>
        <w:tc>
          <w:tcPr>
            <w:tcW w:type="dxa" w:w="5040"/>
            <w:vAlign w:val="center"/>
          </w:tcPr>
          <w:p>
            <w:r>
              <w:t>Needs Attention</w:t>
            </w:r>
          </w:p>
        </w:tc>
        <w:tc>
          <w:tcPr>
            <w:tcW w:type="dxa" w:w="5040"/>
            <w:vAlign w:val="center"/>
          </w:tcPr>
          <w:p>
            <w:r>
              <w:t>Remaining customers</w:t>
            </w:r>
          </w:p>
        </w:tc>
      </w:tr>
    </w:tbl>
    <w:p>
      <w:r>
        <w:t>CASE statement order matters. Earlier conditions take precedence when a customer could satisfy more than one conceptual category.</w:t>
      </w:r>
    </w:p>
    <w:p>
      <w:pPr>
        <w:pStyle w:val="Heading2"/>
      </w:pPr>
      <w:r>
        <w:t>9.2 Value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Tier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Monetary rule</w:t>
            </w:r>
          </w:p>
        </w:tc>
      </w:tr>
      <w:tr>
        <w:tc>
          <w:tcPr>
            <w:tcW w:type="dxa" w:w="5040"/>
            <w:vAlign w:val="center"/>
          </w:tcPr>
          <w:p>
            <w:r>
              <w:t>High Value</w:t>
            </w:r>
          </w:p>
        </w:tc>
        <w:tc>
          <w:tcPr>
            <w:tcW w:type="dxa" w:w="5040"/>
            <w:vAlign w:val="center"/>
          </w:tcPr>
          <w:p>
            <w:r>
              <w:t>≥ £5,000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Mid Value</w:t>
            </w:r>
          </w:p>
        </w:tc>
        <w:tc>
          <w:tcPr>
            <w:tcW w:type="dxa" w:w="5040"/>
            <w:vAlign w:val="center"/>
          </w:tcPr>
          <w:p>
            <w:r>
              <w:t>£2,000–4,999</w:t>
            </w:r>
          </w:p>
        </w:tc>
      </w:tr>
      <w:tr>
        <w:tc>
          <w:tcPr>
            <w:tcW w:type="dxa" w:w="5040"/>
            <w:vAlign w:val="center"/>
          </w:tcPr>
          <w:p>
            <w:r>
              <w:t>Low Value</w:t>
            </w:r>
          </w:p>
        </w:tc>
        <w:tc>
          <w:tcPr>
            <w:tcW w:type="dxa" w:w="5040"/>
            <w:vAlign w:val="center"/>
          </w:tcPr>
          <w:p>
            <w:r>
              <w:t>&lt; £2,000</w:t>
            </w:r>
          </w:p>
        </w:tc>
      </w:tr>
    </w:tbl>
    <w:p>
      <w:pPr>
        <w:pStyle w:val="Heading2"/>
      </w:pPr>
      <w:r>
        <w:t>9.3 Risk Group</w:t>
      </w:r>
    </w:p>
    <w:p>
      <w:pPr>
        <w:ind w:left="360" w:right="360"/>
      </w:pPr>
      <w:r>
        <w:rPr>
          <w:rFonts w:ascii="Consolas" w:hAnsi="Consolas"/>
          <w:sz w:val="17"/>
        </w:rPr>
        <w:t>CASE</w:t>
        <w:br/>
      </w:r>
      <w:r>
        <w:rPr>
          <w:rFonts w:ascii="Consolas" w:hAnsi="Consolas"/>
          <w:sz w:val="17"/>
        </w:rPr>
        <w:t xml:space="preserve">    WHEN r_score &lt;= 2 THEN 'High Risk'</w:t>
        <w:br/>
      </w:r>
      <w:r>
        <w:rPr>
          <w:rFonts w:ascii="Consolas" w:hAnsi="Consolas"/>
          <w:sz w:val="17"/>
        </w:rPr>
        <w:t xml:space="preserve">    WHEN r_score = 3 THEN 'Medium Risk'</w:t>
        <w:br/>
      </w:r>
      <w:r>
        <w:rPr>
          <w:rFonts w:ascii="Consolas" w:hAnsi="Consolas"/>
          <w:sz w:val="17"/>
        </w:rPr>
        <w:t xml:space="preserve">    ELSE 'Low Risk'</w:t>
        <w:br/>
      </w:r>
      <w:r>
        <w:rPr>
          <w:rFonts w:ascii="Consolas" w:hAnsi="Consolas"/>
          <w:sz w:val="17"/>
        </w:rPr>
        <w:t>END</w:t>
        <w:br/>
      </w:r>
    </w:p>
    <w:p>
      <w:r>
        <w:t>The High Risk definition is explicitly recency-driven: customers with r_score ≤ 2 are High Risk regardless of segment.</w:t>
      </w:r>
    </w:p>
    <w:p>
      <w:pPr>
        <w:pStyle w:val="Heading2"/>
      </w:pPr>
      <w:r>
        <w:t>9.4 Marketing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Marketing action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R=4 and F≥3</w:t>
            </w:r>
          </w:p>
        </w:tc>
        <w:tc>
          <w:tcPr>
            <w:tcW w:type="dxa" w:w="5040"/>
            <w:vAlign w:val="center"/>
          </w:tcPr>
          <w:p>
            <w:r>
              <w:t>Retain &amp; Upsell</w:t>
            </w:r>
          </w:p>
        </w:tc>
      </w:tr>
      <w:tr>
        <w:tc>
          <w:tcPr>
            <w:tcW w:type="dxa" w:w="5040"/>
            <w:vAlign w:val="center"/>
          </w:tcPr>
          <w:p>
            <w:r>
              <w:t>R=4 and F&lt;3</w:t>
            </w:r>
          </w:p>
        </w:tc>
        <w:tc>
          <w:tcPr>
            <w:tcW w:type="dxa" w:w="5040"/>
            <w:vAlign w:val="center"/>
          </w:tcPr>
          <w:p>
            <w:r>
              <w:t>Welcome &amp; Nurture</w:t>
            </w:r>
          </w:p>
        </w:tc>
      </w:tr>
      <w:tr>
        <w:tc>
          <w:tcPr>
            <w:tcW w:type="dxa" w:w="5040"/>
            <w:vAlign w:val="center"/>
          </w:tcPr>
          <w:p>
            <w:r>
              <w:t>R≤2 and F≥3</w:t>
            </w:r>
          </w:p>
        </w:tc>
        <w:tc>
          <w:tcPr>
            <w:tcW w:type="dxa" w:w="5040"/>
            <w:vAlign w:val="center"/>
          </w:tcPr>
          <w:p>
            <w:r>
              <w:t>Re-engagement Campaign</w:t>
            </w:r>
          </w:p>
        </w:tc>
      </w:tr>
      <w:tr>
        <w:tc>
          <w:tcPr>
            <w:tcW w:type="dxa" w:w="5040"/>
            <w:vAlign w:val="center"/>
          </w:tcPr>
          <w:p>
            <w:r>
              <w:t>R=1</w:t>
            </w:r>
          </w:p>
        </w:tc>
        <w:tc>
          <w:tcPr>
            <w:tcW w:type="dxa" w:w="5040"/>
            <w:vAlign w:val="center"/>
          </w:tcPr>
          <w:p>
            <w:r>
              <w:t>Win-back Offer</w:t>
            </w:r>
          </w:p>
        </w:tc>
      </w:tr>
      <w:tr>
        <w:tc>
          <w:tcPr>
            <w:tcW w:type="dxa" w:w="5040"/>
            <w:vAlign w:val="center"/>
          </w:tcPr>
          <w:p>
            <w:r>
              <w:t>Otherwise</w:t>
            </w:r>
          </w:p>
        </w:tc>
        <w:tc>
          <w:tcPr>
            <w:tcW w:type="dxa" w:w="5040"/>
            <w:vAlign w:val="center"/>
          </w:tcPr>
          <w:p>
            <w:r>
              <w:t>Monitor</w:t>
            </w:r>
          </w:p>
        </w:tc>
      </w:tr>
    </w:tbl>
    <w:p>
      <w:pPr>
        <w:pStyle w:val="Heading2"/>
      </w:pPr>
      <w:r>
        <w:t>9.5 Churn Risk Score</w:t>
      </w:r>
    </w:p>
    <w:p>
      <w:pPr>
        <w:ind w:left="360" w:right="360"/>
      </w:pPr>
      <w:r>
        <w:rPr>
          <w:rFonts w:ascii="Consolas" w:hAnsi="Consolas"/>
          <w:sz w:val="17"/>
        </w:rPr>
        <w:t>Churn Risk =</w:t>
        <w:br/>
      </w:r>
      <w:r>
        <w:rPr>
          <w:rFonts w:ascii="Consolas" w:hAnsi="Consolas"/>
          <w:sz w:val="17"/>
        </w:rPr>
        <w:t>(5 - R_score) × 1.5</w:t>
        <w:br/>
      </w:r>
      <w:r>
        <w:rPr>
          <w:rFonts w:ascii="Consolas" w:hAnsi="Consolas"/>
          <w:sz w:val="17"/>
        </w:rPr>
        <w:t>+ (5 - F_score) × 1.0</w:t>
        <w:br/>
      </w:r>
    </w:p>
    <w:p>
      <w:r>
        <w:t>The theoretical score range is 2.5–10.0. Higher values indicate greater risk. The formula emphasizes Recency more strongly than Frequency.</w:t>
      </w:r>
    </w:p>
    <w:p>
      <w:pPr>
        <w:pStyle w:val="Heading1"/>
      </w:pPr>
      <w:r>
        <w:t>10. Section 7 — BI / Executive Views</w:t>
      </w:r>
    </w:p>
    <w:p>
      <w:pPr>
        <w:pStyle w:val="Heading2"/>
      </w:pPr>
      <w:r>
        <w:t>10.1 segment_summary</w:t>
      </w:r>
    </w:p>
    <w:p>
      <w:r>
        <w:t>segment_summary aggregates customer count, revenue, average customer value, revenue share, cumulative revenue share, average behavior metrics, RFM score, churn risk, and segment health.</w:t>
      </w:r>
    </w:p>
    <w:p>
      <w:pPr>
        <w:ind w:left="360" w:right="360"/>
      </w:pPr>
      <w:r>
        <w:rPr>
          <w:rFonts w:ascii="Consolas" w:hAnsi="Consolas"/>
          <w:sz w:val="17"/>
        </w:rPr>
        <w:t>Segment health:</w:t>
        <w:br/>
      </w:r>
      <w:r>
        <w:rPr>
          <w:rFonts w:ascii="Consolas" w:hAnsi="Consolas"/>
          <w:sz w:val="17"/>
        </w:rPr>
        <w:t xml:space="preserve">    Average churn risk &gt;= 7.0   → Critical</w:t>
        <w:br/>
      </w:r>
      <w:r>
        <w:rPr>
          <w:rFonts w:ascii="Consolas" w:hAnsi="Consolas"/>
          <w:sz w:val="17"/>
        </w:rPr>
        <w:t xml:space="preserve">    Average churn risk &gt;= 4.5   → Warning</w:t>
        <w:br/>
      </w:r>
      <w:r>
        <w:rPr>
          <w:rFonts w:ascii="Consolas" w:hAnsi="Consolas"/>
          <w:sz w:val="17"/>
        </w:rPr>
        <w:t xml:space="preserve">    Otherwise                   → Healthy</w:t>
        <w:br/>
      </w:r>
    </w:p>
    <w:p>
      <w:r>
        <w:t>The cumulative revenue share supports Pareto-style analysis of which segments drive the largest proportion of revenue.</w:t>
      </w:r>
    </w:p>
    <w:p>
      <w:pPr>
        <w:pStyle w:val="Heading2"/>
      </w:pPr>
      <w:r>
        <w:t>10.2 business_kpis</w:t>
      </w:r>
    </w:p>
    <w:p>
      <w:r>
        <w:t>business_kpis produces a single-row executive summary used for dashboard KPI cards.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KPI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Current 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customers</w:t>
            </w:r>
          </w:p>
        </w:tc>
        <w:tc>
          <w:tcPr>
            <w:tcW w:type="dxa" w:w="5040"/>
            <w:vAlign w:val="center"/>
          </w:tcPr>
          <w:p>
            <w:r>
              <w:t>4,338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Champion customers</w:t>
            </w:r>
          </w:p>
        </w:tc>
        <w:tc>
          <w:tcPr>
            <w:tcW w:type="dxa" w:w="5040"/>
            <w:vAlign w:val="center"/>
          </w:tcPr>
          <w:p>
            <w:r>
              <w:t>558</w:t>
            </w:r>
          </w:p>
        </w:tc>
      </w:tr>
      <w:tr>
        <w:tc>
          <w:tcPr>
            <w:tcW w:type="dxa" w:w="5040"/>
            <w:vAlign w:val="center"/>
          </w:tcPr>
          <w:p>
            <w:r>
              <w:t>High-risk customers</w:t>
            </w:r>
          </w:p>
        </w:tc>
        <w:tc>
          <w:tcPr>
            <w:tcW w:type="dxa" w:w="5040"/>
            <w:vAlign w:val="center"/>
          </w:tcPr>
          <w:p>
            <w:r>
              <w:t>1,449</w:t>
            </w:r>
          </w:p>
        </w:tc>
      </w:tr>
      <w:tr>
        <w:tc>
          <w:tcPr>
            <w:tcW w:type="dxa" w:w="5040"/>
            <w:vAlign w:val="center"/>
          </w:tcPr>
          <w:p>
            <w:r>
              <w:t>High-value customers</w:t>
            </w:r>
          </w:p>
        </w:tc>
        <w:tc>
          <w:tcPr>
            <w:tcW w:type="dxa" w:w="5040"/>
            <w:vAlign w:val="center"/>
          </w:tcPr>
          <w:p>
            <w:r>
              <w:t>275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revenue</w:t>
            </w:r>
          </w:p>
        </w:tc>
        <w:tc>
          <w:tcPr>
            <w:tcW w:type="dxa" w:w="5040"/>
            <w:vAlign w:val="center"/>
          </w:tcPr>
          <w:p>
            <w:r>
              <w:t>£8,911,407.90</w:t>
            </w:r>
          </w:p>
        </w:tc>
      </w:tr>
      <w:tr>
        <w:tc>
          <w:tcPr>
            <w:tcW w:type="dxa" w:w="5040"/>
            <w:vAlign w:val="center"/>
          </w:tcPr>
          <w:p>
            <w:r>
              <w:t>Average customer value</w:t>
            </w:r>
          </w:p>
        </w:tc>
        <w:tc>
          <w:tcPr>
            <w:tcW w:type="dxa" w:w="5040"/>
            <w:vAlign w:val="center"/>
          </w:tcPr>
          <w:p>
            <w:r>
              <w:t>£2,054.27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Champions revenue</w:t>
            </w:r>
          </w:p>
        </w:tc>
        <w:tc>
          <w:tcPr>
            <w:tcW w:type="dxa" w:w="5040"/>
            <w:vAlign w:val="center"/>
          </w:tcPr>
          <w:p>
            <w:r>
              <w:t>£5,068,266.70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Champions revenue share</w:t>
            </w:r>
          </w:p>
        </w:tc>
        <w:tc>
          <w:tcPr>
            <w:tcW w:type="dxa" w:w="5040"/>
            <w:vAlign w:val="center"/>
          </w:tcPr>
          <w:p>
            <w:r>
              <w:t>56.87%</w:t>
            </w:r>
          </w:p>
        </w:tc>
      </w:tr>
      <w:tr>
        <w:tc>
          <w:tcPr>
            <w:tcW w:type="dxa" w:w="5040"/>
            <w:vAlign w:val="center"/>
          </w:tcPr>
          <w:p>
            <w:r>
              <w:t>Revenue at Risk</w:t>
            </w:r>
          </w:p>
        </w:tc>
        <w:tc>
          <w:tcPr>
            <w:tcW w:type="dxa" w:w="5040"/>
            <w:vAlign w:val="center"/>
          </w:tcPr>
          <w:p>
            <w:r>
              <w:t>£1,035,270.41</w:t>
            </w:r>
          </w:p>
        </w:tc>
      </w:tr>
      <w:tr>
        <w:tc>
          <w:tcPr>
            <w:tcW w:type="dxa" w:w="5040"/>
            <w:vAlign w:val="center"/>
          </w:tcPr>
          <w:p>
            <w:r>
              <w:t>Revenue at Risk %</w:t>
            </w:r>
          </w:p>
        </w:tc>
        <w:tc>
          <w:tcPr>
            <w:tcW w:type="dxa" w:w="5040"/>
            <w:vAlign w:val="center"/>
          </w:tcPr>
          <w:p>
            <w:r>
              <w:t>11.62%</w:t>
            </w:r>
          </w:p>
        </w:tc>
      </w:tr>
      <w:tr>
        <w:tc>
          <w:tcPr>
            <w:tcW w:type="dxa" w:w="5040"/>
            <w:vAlign w:val="center"/>
          </w:tcPr>
          <w:p>
            <w:r>
              <w:t>Portfolio RFM score</w:t>
            </w:r>
          </w:p>
        </w:tc>
        <w:tc>
          <w:tcPr>
            <w:tcW w:type="dxa" w:w="5040"/>
            <w:vAlign w:val="center"/>
          </w:tcPr>
          <w:p>
            <w:r>
              <w:t>2.21</w:t>
            </w:r>
          </w:p>
        </w:tc>
      </w:tr>
      <w:tr>
        <w:tc>
          <w:tcPr>
            <w:tcW w:type="dxa" w:w="5040"/>
            <w:vAlign w:val="center"/>
          </w:tcPr>
          <w:p>
            <w:r>
              <w:t>Portfolio churn risk</w:t>
            </w:r>
          </w:p>
        </w:tc>
        <w:tc>
          <w:tcPr>
            <w:tcW w:type="dxa" w:w="5040"/>
            <w:vAlign w:val="center"/>
          </w:tcPr>
          <w:p>
            <w:r>
              <w:t>6.22</w:t>
            </w:r>
          </w:p>
        </w:tc>
      </w:tr>
      <w:tr>
        <w:tc>
          <w:tcPr>
            <w:tcW w:type="dxa" w:w="5040"/>
            <w:vAlign w:val="center"/>
          </w:tcPr>
          <w:p>
            <w:r>
              <w:t>Portfolio health</w:t>
            </w:r>
          </w:p>
        </w:tc>
        <w:tc>
          <w:tcPr>
            <w:tcW w:type="dxa" w:w="5040"/>
            <w:vAlign w:val="center"/>
          </w:tcPr>
          <w:p>
            <w:r>
              <w:t>Warning</w:t>
            </w:r>
          </w:p>
        </w:tc>
      </w:tr>
    </w:tbl>
    <w:p>
      <w:r>
        <w:t>Revenue at Risk is intentionally aligned with the Power BI definition: total Monetary value for customers whose risk_group is High Risk.</w:t>
      </w:r>
    </w:p>
    <w:p>
      <w:pPr>
        <w:ind w:left="360" w:right="360"/>
      </w:pPr>
      <w:r>
        <w:rPr>
          <w:rFonts w:ascii="Consolas" w:hAnsi="Consolas"/>
          <w:sz w:val="17"/>
        </w:rPr>
        <w:t>SUM(</w:t>
        <w:br/>
      </w:r>
      <w:r>
        <w:rPr>
          <w:rFonts w:ascii="Consolas" w:hAnsi="Consolas"/>
          <w:sz w:val="17"/>
        </w:rPr>
        <w:t xml:space="preserve">    CASE</w:t>
        <w:br/>
      </w:r>
      <w:r>
        <w:rPr>
          <w:rFonts w:ascii="Consolas" w:hAnsi="Consolas"/>
          <w:sz w:val="17"/>
        </w:rPr>
        <w:t xml:space="preserve">        WHEN risk_group = 'High Risk'</w:t>
        <w:br/>
      </w:r>
      <w:r>
        <w:rPr>
          <w:rFonts w:ascii="Consolas" w:hAnsi="Consolas"/>
          <w:sz w:val="17"/>
        </w:rPr>
        <w:t xml:space="preserve">        THEN Monetary</w:t>
        <w:br/>
      </w:r>
      <w:r>
        <w:rPr>
          <w:rFonts w:ascii="Consolas" w:hAnsi="Consolas"/>
          <w:sz w:val="17"/>
        </w:rPr>
        <w:t xml:space="preserve">        ELSE 0</w:t>
        <w:br/>
      </w:r>
      <w:r>
        <w:rPr>
          <w:rFonts w:ascii="Consolas" w:hAnsi="Consolas"/>
          <w:sz w:val="17"/>
        </w:rPr>
        <w:t xml:space="preserve">    END</w:t>
        <w:br/>
      </w:r>
      <w:r>
        <w:rPr>
          <w:rFonts w:ascii="Consolas" w:hAnsi="Consolas"/>
          <w:sz w:val="17"/>
        </w:rPr>
        <w:t>) AS revenue_at_risk</w:t>
        <w:br/>
      </w:r>
    </w:p>
    <w:p>
      <w:pPr>
        <w:pStyle w:val="Heading1"/>
      </w:pPr>
      <w:r>
        <w:t>11. Revenue at Risk — Final Business Definition</w:t>
      </w:r>
    </w:p>
    <w:p>
      <w:r>
        <w:t>Revenue at Risk is not defined by the segment names At Risk, Lost, or Lost High Value. Instead, it is defined by the independent risk_group classification.</w:t>
      </w:r>
    </w:p>
    <w:p>
      <w:pPr>
        <w:ind w:left="360" w:right="360"/>
      </w:pPr>
      <w:r>
        <w:rPr>
          <w:rFonts w:ascii="Consolas" w:hAnsi="Consolas"/>
          <w:sz w:val="17"/>
        </w:rPr>
        <w:t>Revenue at Risk =</w:t>
        <w:br/>
      </w:r>
      <w:r>
        <w:rPr>
          <w:rFonts w:ascii="Consolas" w:hAnsi="Consolas"/>
          <w:sz w:val="17"/>
        </w:rPr>
        <w:t>SUM(Monetary)</w:t>
        <w:br/>
      </w:r>
      <w:r>
        <w:rPr>
          <w:rFonts w:ascii="Consolas" w:hAnsi="Consolas"/>
          <w:sz w:val="17"/>
        </w:rPr>
        <w:t>WHERE risk_group = 'High Risk'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High Risk =</w:t>
        <w:br/>
      </w:r>
      <w:r>
        <w:rPr>
          <w:rFonts w:ascii="Consolas" w:hAnsi="Consolas"/>
          <w:sz w:val="17"/>
        </w:rPr>
        <w:t>r_score &lt;= 2</w:t>
        <w:br/>
      </w:r>
    </w:p>
    <w:p>
      <w:r>
        <w:t>This broad definition captures customers whose recency has deteriorated even when their segment label has not yet moved into an explicitly negative segment.</w:t>
      </w:r>
    </w:p>
    <w:p>
      <w:r>
        <w:t>Current value: £1,035,270.41, equal to 11.62% of total revenue.</w:t>
      </w:r>
    </w:p>
    <w:p>
      <w:pPr>
        <w:pStyle w:val="Heading1"/>
      </w:pPr>
      <w:r>
        <w:t>12. Section 8 — Strategic Investment Simulation</w:t>
      </w:r>
    </w:p>
    <w:p>
      <w:r>
        <w:t>strategic_customer_actions assigns an investment rate by customer segment and calculates simulated investment, estimated customer value, ROI ratio, recovery priority, and action urgency.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Investment rate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Champions</w:t>
            </w:r>
          </w:p>
        </w:tc>
        <w:tc>
          <w:tcPr>
            <w:tcW w:type="dxa" w:w="5040"/>
            <w:vAlign w:val="center"/>
          </w:tcPr>
          <w:p>
            <w:r>
              <w:t>5%</w:t>
            </w:r>
          </w:p>
        </w:tc>
      </w:tr>
      <w:tr>
        <w:tc>
          <w:tcPr>
            <w:tcW w:type="dxa" w:w="5040"/>
            <w:vAlign w:val="center"/>
          </w:tcPr>
          <w:p>
            <w:r>
              <w:t>Loyal Customers</w:t>
            </w:r>
          </w:p>
        </w:tc>
        <w:tc>
          <w:tcPr>
            <w:tcW w:type="dxa" w:w="5040"/>
            <w:vAlign w:val="center"/>
          </w:tcPr>
          <w:p>
            <w:r>
              <w:t>7%</w:t>
            </w:r>
          </w:p>
        </w:tc>
      </w:tr>
      <w:tr>
        <w:tc>
          <w:tcPr>
            <w:tcW w:type="dxa" w:w="5040"/>
            <w:vAlign w:val="center"/>
          </w:tcPr>
          <w:p>
            <w:r>
              <w:t>Potential Loyalists</w:t>
            </w:r>
          </w:p>
        </w:tc>
        <w:tc>
          <w:tcPr>
            <w:tcW w:type="dxa" w:w="5040"/>
            <w:vAlign w:val="center"/>
          </w:tcPr>
          <w:p>
            <w: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>
              <w:t>New Customers</w:t>
            </w:r>
          </w:p>
        </w:tc>
        <w:tc>
          <w:tcPr>
            <w:tcW w:type="dxa" w:w="5040"/>
            <w:vAlign w:val="center"/>
          </w:tcPr>
          <w:p>
            <w:r>
              <w:t>12%</w:t>
            </w:r>
          </w:p>
        </w:tc>
      </w:tr>
      <w:tr>
        <w:tc>
          <w:tcPr>
            <w:tcW w:type="dxa" w:w="5040"/>
            <w:vAlign w:val="center"/>
          </w:tcPr>
          <w:p>
            <w:r>
              <w:t>Needs Attention</w:t>
            </w:r>
          </w:p>
        </w:tc>
        <w:tc>
          <w:tcPr>
            <w:tcW w:type="dxa" w:w="5040"/>
            <w:vAlign w:val="center"/>
          </w:tcPr>
          <w:p>
            <w:r>
              <w:t>8%</w:t>
            </w:r>
          </w:p>
        </w:tc>
      </w:tr>
      <w:tr>
        <w:tc>
          <w:tcPr>
            <w:tcW w:type="dxa" w:w="5040"/>
            <w:vAlign w:val="center"/>
          </w:tcPr>
          <w:p>
            <w:r>
              <w:t>At Risk</w:t>
            </w:r>
          </w:p>
        </w:tc>
        <w:tc>
          <w:tcPr>
            <w:tcW w:type="dxa" w:w="5040"/>
            <w:vAlign w:val="center"/>
          </w:tcPr>
          <w:p>
            <w:r>
              <w:t>18%</w:t>
            </w:r>
          </w:p>
        </w:tc>
      </w:tr>
      <w:tr>
        <w:tc>
          <w:tcPr>
            <w:tcW w:type="dxa" w:w="5040"/>
            <w:vAlign w:val="center"/>
          </w:tcPr>
          <w:p>
            <w:r>
              <w:t>Lost High Value</w:t>
            </w:r>
          </w:p>
        </w:tc>
        <w:tc>
          <w:tcPr>
            <w:tcW w:type="dxa" w:w="5040"/>
            <w:vAlign w:val="center"/>
          </w:tcPr>
          <w:p>
            <w: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r>
              <w:t>Lost</w:t>
            </w:r>
          </w:p>
        </w:tc>
        <w:tc>
          <w:tcPr>
            <w:tcW w:type="dxa" w:w="5040"/>
            <w:vAlign w:val="center"/>
          </w:tcPr>
          <w:p>
            <w:r>
              <w:t>3%</w:t>
            </w:r>
          </w:p>
        </w:tc>
      </w:tr>
    </w:tbl>
    <w:p>
      <w:r>
        <w:t>These are scenario assumptions embedded in the SQL business logic. They are not observed campaign costs.</w:t>
      </w:r>
    </w:p>
    <w:p>
      <w:pPr>
        <w:pStyle w:val="Heading2"/>
      </w:pPr>
      <w:r>
        <w:t>12.1 Investment Calculations</w:t>
      </w:r>
    </w:p>
    <w:p>
      <w:pPr>
        <w:ind w:left="360" w:right="360"/>
      </w:pPr>
      <w:r>
        <w:rPr>
          <w:rFonts w:ascii="Consolas" w:hAnsi="Consolas"/>
          <w:sz w:val="17"/>
        </w:rPr>
        <w:t>Estimated Marketing Investment</w:t>
        <w:br/>
      </w:r>
      <w:r>
        <w:rPr>
          <w:rFonts w:ascii="Consolas" w:hAnsi="Consolas"/>
          <w:sz w:val="17"/>
        </w:rPr>
        <w:t>= Monetary × investment_rate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Estimated Customer Value</w:t>
        <w:br/>
      </w:r>
      <w:r>
        <w:rPr>
          <w:rFonts w:ascii="Consolas" w:hAnsi="Consolas"/>
          <w:sz w:val="17"/>
        </w:rPr>
        <w:t>= Monetary × (1 - investment_rate)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ROI Ratio</w:t>
        <w:br/>
      </w:r>
      <w:r>
        <w:rPr>
          <w:rFonts w:ascii="Consolas" w:hAnsi="Consolas"/>
          <w:sz w:val="17"/>
        </w:rPr>
        <w:t>= (1 - investment_rate) / investment_rate</w:t>
        <w:br/>
      </w:r>
    </w:p>
    <w:p>
      <w:r>
        <w:t>The ROI ratio is interpreted as simulated retained value generated per £1 of investment under the assumed scenario.</w:t>
      </w:r>
    </w:p>
    <w:p>
      <w:pPr>
        <w:pStyle w:val="Heading2"/>
      </w:pPr>
      <w:r>
        <w:t>12.2 Recovery Priority Score</w:t>
      </w:r>
    </w:p>
    <w:p>
      <w:pPr>
        <w:ind w:left="360" w:right="360"/>
      </w:pPr>
      <w:r>
        <w:rPr>
          <w:rFonts w:ascii="Consolas" w:hAnsi="Consolas"/>
          <w:sz w:val="17"/>
        </w:rPr>
        <w:t>Recovery Priority Score =</w:t>
        <w:br/>
      </w:r>
      <w:r>
        <w:rPr>
          <w:rFonts w:ascii="Consolas" w:hAnsi="Consolas"/>
          <w:sz w:val="17"/>
        </w:rPr>
        <w:t>(churn_risk_score × 0.4)</w:t>
        <w:br/>
      </w:r>
      <w:r>
        <w:rPr>
          <w:rFonts w:ascii="Consolas" w:hAnsi="Consolas"/>
          <w:sz w:val="17"/>
        </w:rPr>
        <w:t>+</w:t>
        <w:br/>
      </w:r>
      <w:r>
        <w:rPr>
          <w:rFonts w:ascii="Consolas" w:hAnsi="Consolas"/>
          <w:sz w:val="17"/>
        </w:rPr>
        <w:t>(investment_rate × 10 × 0.6)</w:t>
        <w:br/>
      </w:r>
    </w:p>
    <w:p>
      <w:r>
        <w:t>Higher values indicate higher priority under the project's combined risk/investment logic.</w:t>
      </w:r>
    </w:p>
    <w:p>
      <w:pPr>
        <w:pStyle w:val="Heading2"/>
      </w:pPr>
      <w:r>
        <w:t>12.3 Action Urgency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Urgency</w:t>
            </w:r>
          </w:p>
        </w:tc>
      </w:tr>
      <w:tr>
        <w:tc>
          <w:tcPr>
            <w:tcW w:type="dxa" w:w="5040"/>
            <w:vAlign w:val="center"/>
          </w:tcPr>
          <w:p>
            <w:r>
              <w:t>Churn risk ≥ 8</w:t>
            </w:r>
          </w:p>
        </w:tc>
        <w:tc>
          <w:tcPr>
            <w:tcW w:type="dxa" w:w="5040"/>
            <w:vAlign w:val="center"/>
          </w:tcPr>
          <w:p>
            <w:r>
              <w:t>Immediate Action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Churn risk ≥ 6</w:t>
            </w:r>
          </w:p>
        </w:tc>
        <w:tc>
          <w:tcPr>
            <w:tcW w:type="dxa" w:w="5040"/>
            <w:vAlign w:val="center"/>
          </w:tcPr>
          <w:p>
            <w:r>
              <w:t>Action This Month</w:t>
            </w:r>
          </w:p>
        </w:tc>
      </w:tr>
      <w:tr>
        <w:tc>
          <w:tcPr>
            <w:tcW w:type="dxa" w:w="5040"/>
            <w:vAlign w:val="center"/>
          </w:tcPr>
          <w:p>
            <w:r>
              <w:t>Churn risk ≥ 4</w:t>
            </w:r>
          </w:p>
        </w:tc>
        <w:tc>
          <w:tcPr>
            <w:tcW w:type="dxa" w:w="5040"/>
            <w:vAlign w:val="center"/>
          </w:tcPr>
          <w:p>
            <w:r>
              <w:t>Monitor Closely</w:t>
            </w:r>
          </w:p>
        </w:tc>
      </w:tr>
      <w:tr>
        <w:tc>
          <w:tcPr>
            <w:tcW w:type="dxa" w:w="5040"/>
            <w:vAlign w:val="center"/>
          </w:tcPr>
          <w:p>
            <w:r>
              <w:t>Otherwise</w:t>
            </w:r>
          </w:p>
        </w:tc>
        <w:tc>
          <w:tcPr>
            <w:tcW w:type="dxa" w:w="5040"/>
            <w:vAlign w:val="center"/>
          </w:tcPr>
          <w:p>
            <w:r>
              <w:t>Maintain</w:t>
            </w:r>
          </w:p>
        </w:tc>
      </w:tr>
    </w:tbl>
    <w:p>
      <w:pPr>
        <w:pStyle w:val="Heading1"/>
      </w:pPr>
      <w:r>
        <w:t>13. Retained Value vs. Recovery Potential</w:t>
      </w:r>
    </w:p>
    <w:p>
      <w:r>
        <w:t>The strategic SQL view calculates Estimated Customer Value for each customer. The Power BI dashboard then aggregates this into a gross retained-value view and calculates a net Recovery Potential by subtracting the total simulated marketing investment.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  <w:vAlign w:val="center"/>
          </w:tcPr>
          <w:p>
            <w:r>
              <w:t>Retained Value (Gross)</w:t>
            </w:r>
          </w:p>
        </w:tc>
        <w:tc>
          <w:tcPr>
            <w:tcW w:type="dxa" w:w="3360"/>
            <w:vAlign w:val="center"/>
          </w:tcPr>
          <w:p>
            <w:r>
              <w:t>SUM(Estimated Customer Value)</w:t>
            </w:r>
          </w:p>
        </w:tc>
        <w:tc>
          <w:tcPr>
            <w:tcW w:type="dxa" w:w="3360"/>
            <w:vAlign w:val="center"/>
          </w:tcPr>
          <w:p>
            <w:r>
              <w:t>£8,295,400</w:t>
            </w:r>
          </w:p>
        </w:tc>
      </w:tr>
      <w:tr>
        <w:tc>
          <w:tcPr>
            <w:tcW w:type="dxa" w:w="3360"/>
            <w:vAlign w:val="center"/>
          </w:tcPr>
          <w:p>
            <w:r>
              <w:t>Marketing Investment</w:t>
            </w:r>
          </w:p>
        </w:tc>
        <w:tc>
          <w:tcPr>
            <w:tcW w:type="dxa" w:w="3360"/>
            <w:vAlign w:val="center"/>
          </w:tcPr>
          <w:p>
            <w:r>
              <w:t>SUM(Estimated Marketing Investment)</w:t>
            </w:r>
          </w:p>
        </w:tc>
        <w:tc>
          <w:tcPr>
            <w:tcW w:type="dxa" w:w="3360"/>
            <w:vAlign w:val="center"/>
          </w:tcPr>
          <w:p>
            <w:r>
              <w:t>£616,009</w:t>
            </w:r>
          </w:p>
        </w:tc>
      </w:tr>
      <w:tr>
        <w:tc>
          <w:tcPr>
            <w:tcW w:type="dxa" w:w="3360"/>
            <w:vAlign w:val="center"/>
          </w:tcPr>
          <w:p>
            <w:r>
              <w:t>Recovery Potential (Net)</w:t>
            </w:r>
          </w:p>
        </w:tc>
        <w:tc>
          <w:tcPr>
            <w:tcW w:type="dxa" w:w="3360"/>
            <w:vAlign w:val="center"/>
          </w:tcPr>
          <w:p>
            <w:r>
              <w:t>Retained Value − Marketing Investment</w:t>
            </w:r>
          </w:p>
        </w:tc>
        <w:tc>
          <w:tcPr>
            <w:tcW w:type="dxa" w:w="3360"/>
            <w:vAlign w:val="center"/>
          </w:tcPr>
          <w:p>
            <w:r>
              <w:t>£7,679,391</w:t>
            </w:r>
          </w:p>
        </w:tc>
      </w:tr>
    </w:tbl>
    <w:p>
      <w:r>
        <w:t>Recovery Potential is therefore a scenario-based net value estimate, not observed historical revenue recovery.</w:t>
      </w:r>
    </w:p>
    <w:p>
      <w:pPr>
        <w:pStyle w:val="Heading1"/>
      </w:pPr>
      <w:r>
        <w:t>14. Power BI Alignment</w:t>
      </w:r>
    </w:p>
    <w:p>
      <w:r>
        <w:t>The Power BI dashboard uses the same customer-level gold layer and business definitions. The Revenue At Risk measure filters gold_customer_insights to risk_group = 'High Risk'.</w:t>
      </w:r>
    </w:p>
    <w:p>
      <w:pPr>
        <w:ind w:left="360" w:right="360"/>
      </w:pPr>
      <w:r>
        <w:rPr>
          <w:rFonts w:ascii="Consolas" w:hAnsi="Consolas"/>
          <w:sz w:val="17"/>
        </w:rPr>
        <w:t>Revenue At Risk (High Risk Customers) =</w:t>
        <w:br/>
      </w:r>
      <w:r>
        <w:rPr>
          <w:rFonts w:ascii="Consolas" w:hAnsi="Consolas"/>
          <w:sz w:val="17"/>
        </w:rPr>
        <w:t>CALCULATE(</w:t>
        <w:br/>
      </w:r>
      <w:r>
        <w:rPr>
          <w:rFonts w:ascii="Consolas" w:hAnsi="Consolas"/>
          <w:sz w:val="17"/>
        </w:rPr>
        <w:t xml:space="preserve">    [Total Revenue],</w:t>
        <w:br/>
      </w:r>
      <w:r>
        <w:rPr>
          <w:rFonts w:ascii="Consolas" w:hAnsi="Consolas"/>
          <w:sz w:val="17"/>
        </w:rPr>
        <w:t xml:space="preserve">    'rfm_analysis gold_customer_insights'[risk_group] = "High Risk"</w:t>
        <w:br/>
      </w:r>
      <w:r>
        <w:rPr>
          <w:rFonts w:ascii="Consolas" w:hAnsi="Consolas"/>
          <w:sz w:val="17"/>
        </w:rPr>
        <w:t>)</w:t>
        <w:br/>
      </w:r>
    </w:p>
    <w:p>
      <w:r>
        <w:t>The dashboard's Recovery Potential measure is:</w:t>
      </w:r>
    </w:p>
    <w:p>
      <w:pPr>
        <w:ind w:left="360" w:right="360"/>
      </w:pPr>
      <w:r>
        <w:rPr>
          <w:rFonts w:ascii="Consolas" w:hAnsi="Consolas"/>
          <w:sz w:val="17"/>
        </w:rPr>
        <w:t>Recovery Potential =</w:t>
        <w:br/>
      </w:r>
      <w:r>
        <w:rPr>
          <w:rFonts w:ascii="Consolas" w:hAnsi="Consolas"/>
          <w:sz w:val="17"/>
        </w:rPr>
        <w:t>[Estimated Customer Value]</w:t>
        <w:br/>
      </w:r>
      <w:r>
        <w:rPr>
          <w:rFonts w:ascii="Consolas" w:hAnsi="Consolas"/>
          <w:sz w:val="17"/>
        </w:rPr>
        <w:t>- [Estimated Marketing Investment]</w:t>
        <w:br/>
      </w:r>
    </w:p>
    <w:p>
      <w:r>
        <w:t>This produces the net Recovery Potential shown on the dashboard.</w:t>
      </w:r>
    </w:p>
    <w:p>
      <w:pPr>
        <w:pStyle w:val="Heading1"/>
      </w:pPr>
      <w:r>
        <w:t>15. Validation Checklist</w:t>
      </w:r>
    </w:p>
    <w:p>
      <w:pPr>
        <w:pStyle w:val="ListBullet"/>
      </w:pPr>
      <w:r>
        <w:t>Raw row count: 541,909.</w:t>
      </w:r>
    </w:p>
    <w:p>
      <w:pPr>
        <w:pStyle w:val="ListBullet"/>
      </w:pPr>
      <w:r>
        <w:t>Valid transaction row count: approximately 397,880.</w:t>
      </w:r>
    </w:p>
    <w:p>
      <w:pPr>
        <w:pStyle w:val="ListBullet"/>
      </w:pPr>
      <w:r>
        <w:t>Customer count: 4,338.</w:t>
      </w:r>
    </w:p>
    <w:p>
      <w:pPr>
        <w:pStyle w:val="ListBullet"/>
      </w:pPr>
      <w:r>
        <w:t>No NULL segments in gold_customer_insights.</w:t>
      </w:r>
    </w:p>
    <w:p>
      <w:pPr>
        <w:pStyle w:val="ListBullet"/>
      </w:pPr>
      <w:r>
        <w:t>High-risk customers: 1,449.</w:t>
      </w:r>
    </w:p>
    <w:p>
      <w:pPr>
        <w:pStyle w:val="ListBullet"/>
      </w:pPr>
      <w:r>
        <w:t>Revenue at Risk: £1,035,270.41.</w:t>
      </w:r>
    </w:p>
    <w:p>
      <w:pPr>
        <w:pStyle w:val="ListBullet"/>
      </w:pPr>
      <w:r>
        <w:t>Revenue at Risk percentage: 11.62%.</w:t>
      </w:r>
    </w:p>
    <w:p>
      <w:pPr>
        <w:pStyle w:val="ListBullet"/>
      </w:pPr>
      <w:r>
        <w:t>Champions: 558 customers.</w:t>
      </w:r>
    </w:p>
    <w:p>
      <w:pPr>
        <w:pStyle w:val="ListBullet"/>
      </w:pPr>
      <w:r>
        <w:t>Champions revenue share: 56.87%.</w:t>
      </w:r>
    </w:p>
    <w:p>
      <w:pPr>
        <w:pStyle w:val="ListBullet"/>
      </w:pPr>
      <w:r>
        <w:t>Portfolio churn risk: 6.22.</w:t>
      </w:r>
    </w:p>
    <w:p>
      <w:pPr>
        <w:pStyle w:val="ListBullet"/>
      </w:pPr>
      <w:r>
        <w:t>Portfolio health: Warning.</w:t>
      </w:r>
    </w:p>
    <w:p>
      <w:pPr>
        <w:pStyle w:val="ListBullet"/>
      </w:pPr>
      <w:r>
        <w:t>Strategic investment and retained-value totals should reconcile with the Power BI dashboard.</w:t>
      </w:r>
    </w:p>
    <w:p>
      <w:pPr>
        <w:pStyle w:val="Heading1"/>
      </w:pPr>
      <w:r>
        <w:t>16. SQL Object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transactions</w:t>
            </w:r>
          </w:p>
        </w:tc>
        <w:tc>
          <w:tcPr>
            <w:tcW w:type="dxa" w:w="3360"/>
            <w:vAlign w:val="center"/>
          </w:tcPr>
          <w:p>
            <w:r>
              <w:t>Raw data ingestion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transactions.InvoiceDate_clean</w:t>
            </w:r>
          </w:p>
        </w:tc>
        <w:tc>
          <w:tcPr>
            <w:tcW w:type="dxa" w:w="3360"/>
            <w:vAlign w:val="center"/>
          </w:tcPr>
          <w:p>
            <w:r>
              <w:t>Clean DATETIME conversion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fact_transactions</w:t>
            </w:r>
          </w:p>
        </w:tc>
        <w:tc>
          <w:tcPr>
            <w:tcW w:type="dxa" w:w="3360"/>
            <w:vAlign w:val="center"/>
          </w:tcPr>
          <w:p>
            <w:r>
              <w:t>Valid analytical transactions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rfm_base</w:t>
            </w:r>
          </w:p>
        </w:tc>
        <w:tc>
          <w:tcPr>
            <w:tcW w:type="dxa" w:w="3360"/>
            <w:vAlign w:val="center"/>
          </w:tcPr>
          <w:p>
            <w:r>
              <w:t>Customer-level RFM metrics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rfm_scores</w:t>
            </w:r>
          </w:p>
        </w:tc>
        <w:tc>
          <w:tcPr>
            <w:tcW w:type="dxa" w:w="3360"/>
            <w:vAlign w:val="center"/>
          </w:tcPr>
          <w:p>
            <w:r>
              <w:t>Fixed-threshold R/F/M scoring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rfm_scores_with_composite</w:t>
            </w:r>
          </w:p>
        </w:tc>
        <w:tc>
          <w:tcPr>
            <w:tcW w:type="dxa" w:w="3360"/>
            <w:vAlign w:val="center"/>
          </w:tcPr>
          <w:p>
            <w:r>
              <w:t>Weighted composite score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gold_customer_insights</w:t>
            </w:r>
          </w:p>
        </w:tc>
        <w:tc>
          <w:tcPr>
            <w:tcW w:type="dxa" w:w="3360"/>
            <w:vAlign w:val="center"/>
          </w:tcPr>
          <w:p>
            <w:r>
              <w:t>Segments, value, risk, actions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7</w:t>
            </w:r>
          </w:p>
        </w:tc>
        <w:tc>
          <w:tcPr>
            <w:tcW w:type="dxa" w:w="3360"/>
            <w:vAlign w:val="center"/>
          </w:tcPr>
          <w:p>
            <w:r>
              <w:t>segment_summary</w:t>
            </w:r>
          </w:p>
        </w:tc>
        <w:tc>
          <w:tcPr>
            <w:tcW w:type="dxa" w:w="3360"/>
            <w:vAlign w:val="center"/>
          </w:tcPr>
          <w:p>
            <w:r>
              <w:t>Segment-level BI aggregation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7</w:t>
            </w:r>
          </w:p>
        </w:tc>
        <w:tc>
          <w:tcPr>
            <w:tcW w:type="dxa" w:w="3360"/>
            <w:vAlign w:val="center"/>
          </w:tcPr>
          <w:p>
            <w:r>
              <w:t>business_kpis</w:t>
            </w:r>
          </w:p>
        </w:tc>
        <w:tc>
          <w:tcPr>
            <w:tcW w:type="dxa" w:w="3360"/>
            <w:vAlign w:val="center"/>
          </w:tcPr>
          <w:p>
            <w:r>
              <w:t>Executive KPI summary</w:t>
            </w:r>
          </w:p>
        </w:tc>
      </w:tr>
      <w:tr>
        <w:tc>
          <w:tcPr>
            <w:tcW w:type="dxa" w:w="3360"/>
            <w:vAlign w:val="center"/>
          </w:tcPr>
          <w:p>
            <w:r>
              <w:t>8</w:t>
            </w:r>
          </w:p>
        </w:tc>
        <w:tc>
          <w:tcPr>
            <w:tcW w:type="dxa" w:w="3360"/>
            <w:vAlign w:val="center"/>
          </w:tcPr>
          <w:p>
            <w:r>
              <w:t>strategic_customer_actions</w:t>
            </w:r>
          </w:p>
        </w:tc>
        <w:tc>
          <w:tcPr>
            <w:tcW w:type="dxa" w:w="3360"/>
            <w:vAlign w:val="center"/>
          </w:tcPr>
          <w:p>
            <w:r>
              <w:t>Investment and retention simulation</w:t>
            </w:r>
          </w:p>
        </w:tc>
      </w:tr>
    </w:tbl>
    <w:p>
      <w:pPr>
        <w:pStyle w:val="Heading1"/>
      </w:pPr>
      <w:r>
        <w:t>17. Repository and Reproducibility</w:t>
      </w:r>
    </w:p>
    <w:p>
      <w:r>
        <w:t>The SQL file is designed to be executed in MySQL 8.0. The database dump provides a fast setup option, while the SQL script provides the full transformation logic and validation steps.</w:t>
      </w:r>
    </w:p>
    <w:p>
      <w:r>
        <w:t>For a clean rebuild, follow the comments in Section 1 and Section 2 regarding CREATE TABLE, LOAD DATA INFILE, secure_file_priv, and the first-run InvoiceDate_clean column.</w:t>
      </w:r>
    </w:p>
    <w:p>
      <w:pPr>
        <w:pStyle w:val="Heading1"/>
      </w:pPr>
      <w:r>
        <w:t>18. Interpretation Notes</w:t>
      </w:r>
    </w:p>
    <w:p>
      <w:pPr>
        <w:pStyle w:val="ListBullet"/>
      </w:pPr>
      <w:r>
        <w:t>RFM thresholds are business rules, not statistically optimized cutoffs.</w:t>
      </w:r>
    </w:p>
    <w:p>
      <w:pPr>
        <w:pStyle w:val="ListBullet"/>
      </w:pPr>
      <w:r>
        <w:t>The churn-risk score is an analytical prioritization score, not a machine-learning probability of churn.</w:t>
      </w:r>
    </w:p>
    <w:p>
      <w:pPr>
        <w:pStyle w:val="ListBullet"/>
      </w:pPr>
      <w:r>
        <w:t>Revenue at Risk is historical revenue associated with recency-based High Risk customers; it is not a forecast of future lost revenue.</w:t>
      </w:r>
    </w:p>
    <w:p>
      <w:pPr>
        <w:pStyle w:val="ListBullet"/>
      </w:pPr>
      <w:r>
        <w:t>ROI and investment figures are simulated scenarios based on segment-level assumptions.</w:t>
      </w:r>
    </w:p>
    <w:p>
      <w:pPr>
        <w:pStyle w:val="ListBullet"/>
      </w:pPr>
      <w:r>
        <w:t>Recovery Potential is a modeled net value estimate, not observed campaign revenue recovery.</w:t>
      </w:r>
    </w:p>
    <w:p>
      <w:pPr>
        <w:pStyle w:val="ListBullet"/>
      </w:pPr>
      <w:r>
        <w:t>The project's purpose is decision support: identifying where retention effort may be most valuable.</w:t>
      </w:r>
    </w:p>
    <w:p>
      <w:pPr>
        <w:pStyle w:val="Heading1"/>
      </w:pPr>
      <w:r>
        <w:t>19. Key Business Findings</w:t>
      </w:r>
    </w:p>
    <w:p>
      <w:pPr>
        <w:pStyle w:val="ListBullet"/>
      </w:pPr>
      <w:r>
        <w:t>Champions generate 56.87% of total revenue while representing approximately 13% of customers.</w:t>
      </w:r>
    </w:p>
    <w:p>
      <w:pPr>
        <w:pStyle w:val="ListBullet"/>
      </w:pPr>
      <w:r>
        <w:t>Needs Attention is the largest segment, making it an important population for proactive engagement.</w:t>
      </w:r>
    </w:p>
    <w:p>
      <w:pPr>
        <w:pStyle w:val="ListBullet"/>
      </w:pPr>
      <w:r>
        <w:t>Lost High Value is small in customer count but material in historical revenue, making it a high-priority win-back population.</w:t>
      </w:r>
    </w:p>
    <w:p>
      <w:pPr>
        <w:pStyle w:val="ListBullet"/>
      </w:pPr>
      <w:r>
        <w:t>Retain &amp; Upsell has the strongest simulated ROI ratio under the project's investment assumptions.</w:t>
      </w:r>
    </w:p>
    <w:p>
      <w:pPr>
        <w:pStyle w:val="ListBullet"/>
      </w:pPr>
      <w:r>
        <w:t>The portfolio-wide churn risk of 6.22 places the customer base in the Warning health zone.</w:t>
      </w:r>
    </w:p>
    <w:p>
      <w:pPr>
        <w:pStyle w:val="ListBullet"/>
      </w:pPr>
      <w:r>
        <w:t>£1.04M of historical revenue is associated with recency-based High Risk customers.</w:t>
      </w:r>
    </w:p>
    <w:p>
      <w:pPr>
        <w:pStyle w:val="Heading1"/>
      </w:pPr>
      <w:r>
        <w:t>20. Author</w:t>
      </w:r>
    </w:p>
    <w:p>
      <w:r>
        <w:t>Marina Kovacevic</w:t>
        <w:br/>
        <w:t>Data Analyst | SQL · Power BI · Excel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