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Brief &amp; Outline: Candlestick Anatomy (OHLC)</w:t>
      </w:r>
    </w:p>
    <w:p>
      <w:pPr>
        <w:pStyle w:val="Heading2"/>
      </w:pPr>
      <w:r>
        <w:t>Brief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23A83"/>
          </w:tcPr>
          <w:p>
            <w:pP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23A83"/>
          </w:tcPr>
          <w:p>
            <w:pP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>
              <w:t>Topic</w:t>
            </w:r>
          </w:p>
        </w:tc>
        <w:tc>
          <w:tcPr>
            <w:tcW w:type="dxa" w:w="4320"/>
          </w:tcPr>
          <w:p>
            <w:pPr/>
            <w:r>
              <w:t>Candlestick Anatomy (OHLC)</w:t>
            </w:r>
          </w:p>
        </w:tc>
      </w:tr>
      <w:tr>
        <w:tc>
          <w:tcPr>
            <w:tcW w:type="dxa" w:w="4320"/>
          </w:tcPr>
          <w:p>
            <w:pPr/>
            <w:r>
              <w:t>Czech Title</w:t>
            </w:r>
          </w:p>
        </w:tc>
        <w:tc>
          <w:tcPr>
            <w:tcW w:type="dxa" w:w="4320"/>
          </w:tcPr>
          <w:p>
            <w:pPr/>
            <w:r>
              <w:t>Anatomie svíčky (OHLC)</w:t>
            </w:r>
          </w:p>
        </w:tc>
      </w:tr>
      <w:tr>
        <w:tc>
          <w:tcPr>
            <w:tcW w:type="dxa" w:w="4320"/>
          </w:tcPr>
          <w:p>
            <w:pPr/>
            <w:r>
              <w:t>Slug</w:t>
            </w:r>
          </w:p>
        </w:tc>
        <w:tc>
          <w:tcPr>
            <w:tcW w:type="dxa" w:w="4320"/>
          </w:tcPr>
          <w:p>
            <w:pPr/>
            <w:r>
              <w:t>candlestick-anatomy-ohlc</w:t>
            </w:r>
          </w:p>
        </w:tc>
      </w:tr>
      <w:tr>
        <w:tc>
          <w:tcPr>
            <w:tcW w:type="dxa" w:w="4320"/>
          </w:tcPr>
          <w:p>
            <w:pPr/>
            <w:r>
              <w:t>Lokace</w:t>
            </w:r>
          </w:p>
        </w:tc>
        <w:tc>
          <w:tcPr>
            <w:tcW w:type="dxa" w:w="4320"/>
          </w:tcPr>
          <w:p>
            <w:pPr/>
            <w:r>
              <w:t>2.1.2.</w:t>
            </w:r>
          </w:p>
        </w:tc>
      </w:tr>
      <w:tr>
        <w:tc>
          <w:tcPr>
            <w:tcW w:type="dxa" w:w="4320"/>
          </w:tcPr>
          <w:p>
            <w:pPr/>
            <w:r>
              <w:t>Part</w:t>
            </w:r>
          </w:p>
        </w:tc>
        <w:tc>
          <w:tcPr>
            <w:tcW w:type="dxa" w:w="4320"/>
          </w:tcPr>
          <w:p>
            <w:pPr/>
            <w:r>
              <w:t>Part 2 — Trading Analysis</w:t>
            </w:r>
          </w:p>
        </w:tc>
      </w:tr>
      <w:tr>
        <w:tc>
          <w:tcPr>
            <w:tcW w:type="dxa" w:w="4320"/>
          </w:tcPr>
          <w:p>
            <w:pPr/>
            <w:r>
              <w:t>Module</w:t>
            </w:r>
          </w:p>
        </w:tc>
        <w:tc>
          <w:tcPr>
            <w:tcW w:type="dxa" w:w="4320"/>
          </w:tcPr>
          <w:p>
            <w:pPr/>
            <w:r>
              <w:t>2.1. Graf a timeframe</w:t>
            </w:r>
          </w:p>
        </w:tc>
      </w:tr>
      <w:tr>
        <w:tc>
          <w:tcPr>
            <w:tcW w:type="dxa" w:w="4320"/>
          </w:tcPr>
          <w:p>
            <w:pPr/>
            <w:r>
              <w:t>Position</w:t>
            </w:r>
          </w:p>
        </w:tc>
        <w:tc>
          <w:tcPr>
            <w:tcW w:type="dxa" w:w="4320"/>
          </w:tcPr>
          <w:p>
            <w:pPr/>
            <w:r>
              <w:t>Kapitola 2 of 5 in the lesson (free structure — no sub-topics in Google Sheet)</w:t>
            </w:r>
          </w:p>
        </w:tc>
      </w:tr>
      <w:tr>
        <w:tc>
          <w:tcPr>
            <w:tcW w:type="dxa" w:w="4320"/>
          </w:tcPr>
          <w:p>
            <w:pPr/>
            <w:r>
              <w:t>Classification</w:t>
            </w:r>
          </w:p>
        </w:tc>
        <w:tc>
          <w:tcPr>
            <w:tcW w:type="dxa" w:w="4320"/>
          </w:tcPr>
          <w:p>
            <w:pPr/>
            <w:r>
              <w:t>BEGINNER — foundational TA lesson, assumes no prior knowledge; Part 2 early chapter</w:t>
            </w:r>
          </w:p>
        </w:tc>
      </w:tr>
      <w:tr>
        <w:tc>
          <w:tcPr>
            <w:tcW w:type="dxa" w:w="4320"/>
          </w:tcPr>
          <w:p>
            <w:pPr/>
            <w:r>
              <w:t>Word Count</w:t>
            </w:r>
          </w:p>
        </w:tc>
        <w:tc>
          <w:tcPr>
            <w:tcW w:type="dxa" w:w="4320"/>
          </w:tcPr>
          <w:p>
            <w:pPr/>
            <w:r>
              <w:t>1,500–1,800 words — tighter than competitor average (2,200–5,500) by design: pure anatomy scope, patterns deferred to 2.3.1.</w:t>
            </w:r>
          </w:p>
        </w:tc>
      </w:tr>
    </w:tbl>
    <w:p/>
    <w:p>
      <w:pPr>
        <w:pStyle w:val="Heading2"/>
      </w:pPr>
      <w:r>
        <w:t>Differentiation</w:t>
      </w:r>
    </w:p>
    <w:p>
      <w:pPr>
        <w:pStyle w:val="ListBullet"/>
      </w:pPr>
      <w:r>
        <w:rPr>
          <w:b/>
        </w:rPr>
        <w:t>Strict anatomy-only scope.</w:t>
      </w:r>
      <w:r>
        <w:t xml:space="preserve"> Unlike Capital.com, Dukascopy, ChartSchool, and Pepperstone — which collapse anatomy and pattern recognition into a single sprawling article — this lesson stays focused on OHLC, body, and wicks. Patterns (Doji, Hammer, Engulfing, etc.) are deferred to Lesson 2.3.1.</w:t>
      </w:r>
    </w:p>
    <w:p>
      <w:pPr>
        <w:pStyle w:val="ListBullet"/>
      </w:pPr>
      <w:r>
        <w:rPr>
          <w:b/>
        </w:rPr>
        <w:t>OHLC as a data abstraction, not a bullet list.</w:t>
      </w:r>
      <w:r>
        <w:t xml:space="preserve"> Most competitors mention Open/High/Low/Close as four items. We frame OHLC as the underlying data model that a candlestick renders visually — the conceptual anchor of the lesson.</w:t>
      </w:r>
    </w:p>
    <w:p>
      <w:pPr>
        <w:pStyle w:val="ListBullet"/>
      </w:pPr>
      <w:r>
        <w:rPr>
          <w:b/>
        </w:rPr>
        <w:t>Explicit "what a candle does NOT tell you" section.</w:t>
      </w:r>
      <w:r>
        <w:t xml:space="preserve"> Only StockCharts ChartSchool does this honestly; we make it a standalone section with a Keep-in-Mind callout about TA interpretation bias.</w:t>
      </w:r>
    </w:p>
    <w:p>
      <w:pPr>
        <w:pStyle w:val="ListBullet"/>
      </w:pPr>
      <w:r>
        <w:rPr>
          <w:b/>
        </w:rPr>
        <w:t>Candlestick vs. OHLC bar chart comparison.</w:t>
      </w:r>
      <w:r>
        <w:t xml:space="preserve"> Short comparison table showing why candles became the retail default. Rarely done cleanly in competitor content.</w:t>
      </w:r>
    </w:p>
    <w:p>
      <w:pPr>
        <w:pStyle w:val="ListBullet"/>
      </w:pPr>
      <w:r>
        <w:rPr>
          <w:b/>
        </w:rPr>
        <w:t>Timeframe-awareness signposted forward.</w:t>
      </w:r>
      <w:r>
        <w:t xml:space="preserve"> We introduce the idea that a candle is meaningless without its timeframe context, then explicitly link forward to Lesson 2.1.3. on timeframe selection — instead of trying to cover it here.</w:t>
      </w:r>
    </w:p>
    <w:p>
      <w:r/>
      <w:r>
        <w:rPr>
          <w:b/>
        </w:rPr>
        <w:t>Topics deliberately excluded:</w:t>
      </w:r>
      <w:r/>
    </w:p>
    <w:p>
      <w:pPr>
        <w:pStyle w:val="ListBullet"/>
      </w:pPr>
      <w:r>
        <w:t>Specific candlestick patterns (doji, hammer, engulfing, marubozu, shooting star, etc.) — covered in 2.3.1.</w:t>
      </w:r>
    </w:p>
    <w:p>
      <w:pPr>
        <w:pStyle w:val="ListBullet"/>
      </w:pPr>
      <w:r>
        <w:t>Pattern trading strategies or entry/exit rules — out of scope for anatomy.</w:t>
      </w:r>
    </w:p>
    <w:p>
      <w:pPr>
        <w:pStyle w:val="ListBullet"/>
      </w:pPr>
      <w:r>
        <w:t>Timeframe selection guidance — mentioned only as a bridge to 2.1.3.</w:t>
      </w:r>
    </w:p>
    <w:p>
      <w:pPr>
        <w:pStyle w:val="ListBullet"/>
      </w:pPr>
      <w:r>
        <w:t>Heikin-Ashi, Renko, or other derived chart types — out of scope (these are chart types, not candle anatomy).</w:t>
      </w:r>
    </w:p>
    <w:p>
      <w:pPr>
        <w:pStyle w:val="Heading2"/>
      </w:pPr>
      <w:r>
        <w:t>Keywords — Headings</w:t>
      </w:r>
    </w:p>
    <w:p>
      <w:r>
        <w:t>Top 5 keywords by volume mapped to H1/H2. Remaining keywords integrate naturally into body text in Step 3.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Keyword</w:t>
            </w:r>
          </w:p>
        </w:tc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Volume</w:t>
            </w:r>
          </w:p>
        </w:tc>
        <w:tc>
          <w:tcPr>
            <w:tcW w:type="dxa" w:w="2160"/>
            <w:shd w:val="clear" w:color="auto" w:fill="123A83"/>
          </w:tcPr>
          <w:p>
            <w:pPr/>
            <w:r>
              <w:rPr>
                <w:b/>
                <w:color w:val="FFFFFF"/>
              </w:rPr>
              <w:t>Heading assignment</w:t>
            </w:r>
          </w:p>
        </w:tc>
      </w:tr>
      <w:tr>
        <w:tc>
          <w:tcPr>
            <w:tcW w:type="dxa" w:w="2160"/>
          </w:tcPr>
          <w:p>
            <w:pPr/>
            <w:r>
              <w:t>1</w:t>
            </w:r>
          </w:p>
        </w:tc>
        <w:tc>
          <w:tcPr>
            <w:tcW w:type="dxa" w:w="2160"/>
          </w:tcPr>
          <w:p>
            <w:pPr/>
            <w:r>
              <w:t>candlestick anatomy</w:t>
            </w:r>
          </w:p>
        </w:tc>
        <w:tc>
          <w:tcPr>
            <w:tcW w:type="dxa" w:w="2160"/>
          </w:tcPr>
          <w:p>
            <w:pPr/>
            <w:r>
              <w:t>260</w:t>
            </w:r>
          </w:p>
        </w:tc>
        <w:tc>
          <w:tcPr>
            <w:tcW w:type="dxa" w:w="2160"/>
          </w:tcPr>
          <w:p>
            <w:pPr/>
            <w:r>
              <w:t>H1 (primary match for lesson title)</w:t>
            </w:r>
          </w:p>
        </w:tc>
      </w:tr>
      <w:tr>
        <w:tc>
          <w:tcPr>
            <w:tcW w:type="dxa" w:w="2160"/>
          </w:tcPr>
          <w:p>
            <w:pPr/>
            <w:r>
              <w:t>2</w:t>
            </w:r>
          </w:p>
        </w:tc>
        <w:tc>
          <w:tcPr>
            <w:tcW w:type="dxa" w:w="2160"/>
          </w:tcPr>
          <w:p>
            <w:pPr/>
            <w:r>
              <w:t>how to read a candlestick chart</w:t>
            </w:r>
          </w:p>
        </w:tc>
        <w:tc>
          <w:tcPr>
            <w:tcW w:type="dxa" w:w="2160"/>
          </w:tcPr>
          <w:p>
            <w:pPr/>
            <w:r>
              <w:t>2,400</w:t>
            </w:r>
          </w:p>
        </w:tc>
        <w:tc>
          <w:tcPr>
            <w:tcW w:type="dxa" w:w="2160"/>
          </w:tcPr>
          <w:p>
            <w:pPr/>
            <w:r>
              <w:t>H2 — "How to Read a Single Candle"</w:t>
            </w:r>
          </w:p>
        </w:tc>
      </w:tr>
      <w:tr>
        <w:tc>
          <w:tcPr>
            <w:tcW w:type="dxa" w:w="2160"/>
          </w:tcPr>
          <w:p>
            <w:pPr/>
            <w:r>
              <w:t>3</w:t>
            </w:r>
          </w:p>
        </w:tc>
        <w:tc>
          <w:tcPr>
            <w:tcW w:type="dxa" w:w="2160"/>
          </w:tcPr>
          <w:p>
            <w:pPr/>
            <w:r>
              <w:t>ohlc candlestick / ohlc vs candlestick</w:t>
            </w:r>
          </w:p>
        </w:tc>
        <w:tc>
          <w:tcPr>
            <w:tcW w:type="dxa" w:w="2160"/>
          </w:tcPr>
          <w:p>
            <w:pPr/>
            <w:r>
              <w:t>20 each</w:t>
            </w:r>
          </w:p>
        </w:tc>
        <w:tc>
          <w:tcPr>
            <w:tcW w:type="dxa" w:w="2160"/>
          </w:tcPr>
          <w:p>
            <w:pPr/>
            <w:r>
              <w:t>H2 — "The Four OHLC Data Points" + "Candlestick vs. OHLC Bar"</w:t>
            </w:r>
          </w:p>
        </w:tc>
      </w:tr>
      <w:tr>
        <w:tc>
          <w:tcPr>
            <w:tcW w:type="dxa" w:w="2160"/>
          </w:tcPr>
          <w:p>
            <w:pPr/>
            <w:r>
              <w:t>4</w:t>
            </w:r>
          </w:p>
        </w:tc>
        <w:tc>
          <w:tcPr>
            <w:tcW w:type="dxa" w:w="2160"/>
          </w:tcPr>
          <w:p>
            <w:pPr/>
            <w:r>
              <w:t>candlestick chart</w:t>
            </w:r>
          </w:p>
        </w:tc>
        <w:tc>
          <w:tcPr>
            <w:tcW w:type="dxa" w:w="2160"/>
          </w:tcPr>
          <w:p>
            <w:pPr/>
            <w:r>
              <w:t>8,100</w:t>
            </w:r>
          </w:p>
        </w:tc>
        <w:tc>
          <w:tcPr>
            <w:tcW w:type="dxa" w:w="2160"/>
          </w:tcPr>
          <w:p>
            <w:pPr/>
            <w:r>
              <w:t>Body text (too broad for heading; covered in intro)</w:t>
            </w:r>
          </w:p>
        </w:tc>
      </w:tr>
      <w:tr>
        <w:tc>
          <w:tcPr>
            <w:tcW w:type="dxa" w:w="2160"/>
          </w:tcPr>
          <w:p>
            <w:pPr/>
            <w:r>
              <w:t>5</w:t>
            </w:r>
          </w:p>
        </w:tc>
        <w:tc>
          <w:tcPr>
            <w:tcW w:type="dxa" w:w="2160"/>
          </w:tcPr>
          <w:p>
            <w:pPr/>
            <w:r>
              <w:t>candlestick chart explained</w:t>
            </w:r>
          </w:p>
        </w:tc>
        <w:tc>
          <w:tcPr>
            <w:tcW w:type="dxa" w:w="2160"/>
          </w:tcPr>
          <w:p>
            <w:pPr/>
            <w:r>
              <w:t>390</w:t>
            </w:r>
          </w:p>
        </w:tc>
        <w:tc>
          <w:tcPr>
            <w:tcW w:type="dxa" w:w="2160"/>
          </w:tcPr>
          <w:p>
            <w:pPr/>
            <w:r>
              <w:t>Body text (intro)</w:t>
            </w:r>
          </w:p>
        </w:tc>
      </w:tr>
      <w:tr>
        <w:tc>
          <w:tcPr>
            <w:tcW w:type="dxa" w:w="2160"/>
          </w:tcPr>
          <w:p>
            <w:pPr/>
            <w:r>
              <w:t>—</w:t>
            </w:r>
          </w:p>
        </w:tc>
        <w:tc>
          <w:tcPr>
            <w:tcW w:type="dxa" w:w="2160"/>
          </w:tcPr>
          <w:p>
            <w:pPr/>
            <w:r>
              <w:t>remaining 19 keywords</w:t>
            </w:r>
          </w:p>
        </w:tc>
        <w:tc>
          <w:tcPr>
            <w:tcW w:type="dxa" w:w="2160"/>
          </w:tcPr>
          <w:p>
            <w:pPr/>
            <w:r>
              <w:t>—</w:t>
            </w:r>
          </w:p>
        </w:tc>
        <w:tc>
          <w:tcPr>
            <w:tcW w:type="dxa" w:w="2160"/>
          </w:tcPr>
          <w:p>
            <w:pPr/>
            <w:r>
              <w:t>Step 3 (body integration)</w:t>
            </w:r>
          </w:p>
        </w:tc>
      </w:tr>
    </w:tbl>
    <w:p/>
    <w:p>
      <w:r/>
      <w:r>
        <w:rPr>
          <w:b/>
        </w:rPr>
        <w:t>Note:</w:t>
      </w:r>
      <w:r>
        <w:t xml:space="preserve"> "candlestick types" (SV 2,400) is deliberately NOT used as a heading — in beginner search intent, "types" usually means patterns (Doji, Hammer, etc.), which are out of scope for this lesson.</w:t>
      </w:r>
    </w:p>
    <w:p>
      <w:pPr>
        <w:pStyle w:val="Heading2"/>
      </w:pPr>
      <w:r>
        <w:t>Outline</w:t>
      </w:r>
    </w:p>
    <w:p>
      <w:pPr>
        <w:pStyle w:val="Heading1"/>
      </w:pPr>
      <w:r>
        <w:t>Candlestick Anatomy: Understanding OHLC, Body, and Wicks</w:t>
      </w:r>
    </w:p>
    <w:p>
      <w:r/>
      <w:r>
        <w:rPr>
          <w:b/>
        </w:rPr>
        <w:t>Key point (reader takeaway):</w:t>
      </w:r>
      <w:r>
        <w:t xml:space="preserve"> A candlestick is a visual rendering of four data points — open, high, low, close — over a fixed time interval. By the end of this lesson, you can break any candle into its anatomy and read what the price did during that period.</w:t>
      </w:r>
    </w:p>
    <w:p>
      <w:r>
        <w:t>Intro paragraph (150 words max):</w:t>
      </w:r>
    </w:p>
    <w:p>
      <w:pPr>
        <w:pStyle w:val="ListBullet"/>
      </w:pPr>
      <w:r>
        <w:t>Hook: every chart in your trading platform is a wall of these shapes — reading them starts with anatomy</w:t>
      </w:r>
    </w:p>
    <w:p>
      <w:pPr>
        <w:pStyle w:val="ListBullet"/>
      </w:pPr>
      <w:r>
        <w:t>Establish that a candle = OHLC made visible; a chart = a sequence of candles over time</w:t>
      </w:r>
    </w:p>
    <w:p>
      <w:pPr>
        <w:pStyle w:val="ListBullet"/>
      </w:pPr>
      <w:r>
        <w:t>What this lesson covers (anatomy only) and what comes next (patterns in 2.3.1, timeframes in 2.1.3)</w:t>
      </w:r>
    </w:p>
    <w:p>
      <w:pPr>
        <w:pStyle w:val="Heading2"/>
      </w:pPr>
      <w:r>
        <w:t>What a Candlestick Represents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candlestick chart (body integration)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A single candlestick represents price action across one fixed time interval (1 minute, 1 hour, 1 day — whatever the chart is set to)</w:t>
      </w:r>
    </w:p>
    <w:p>
      <w:pPr>
        <w:pStyle w:val="ListBullet"/>
      </w:pPr>
      <w:r>
        <w:t>Each candle packs four data points (open, high, low, close) into one shape</w:t>
      </w:r>
    </w:p>
    <w:p>
      <w:pPr>
        <w:pStyle w:val="ListBullet"/>
      </w:pPr>
      <w:r>
        <w:t>Candlestick charts originated in 18th-century Japan (Munehisa Homma, rice markets); they displaced OHLC bar charts as the retail default in the 1990s</w:t>
      </w:r>
    </w:p>
    <w:p>
      <w:pPr>
        <w:pStyle w:val="ListBullet"/>
      </w:pPr>
      <w:r>
        <w:t>Brief historical note kept to 1–2 sentences — this is not a history lesson</w:t>
      </w:r>
    </w:p>
    <w:p>
      <w:r>
        <w:t>Transition: Before looking at the shape, understand the data it is encoding.</w:t>
      </w:r>
    </w:p>
    <w:p>
      <w:pPr>
        <w:pStyle w:val="Heading2"/>
      </w:pPr>
      <w:r>
        <w:t>The Four OHLC Data Points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ohlc candlestick / ohlc vs candlestick (body mentions)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OHLC is the data model every candle renders: Open, High, Low, Close</w:t>
      </w:r>
    </w:p>
    <w:p>
      <w:pPr>
        <w:pStyle w:val="ListBullet"/>
      </w:pPr>
      <w:r>
        <w:t>Each point corresponds to a specific moment or extreme within the interval</w:t>
      </w:r>
    </w:p>
    <w:p>
      <w:pPr>
        <w:pStyle w:val="ListBullet"/>
      </w:pPr>
      <w:r>
        <w:t>These four values are what trading platforms store for every bar in the database</w:t>
      </w:r>
    </w:p>
    <w:p>
      <w:r>
        <w:t>Table: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23A83"/>
          </w:tcPr>
          <w:p>
            <w:pPr/>
            <w:r>
              <w:rPr>
                <w:b/>
                <w:color w:val="FFFFFF"/>
              </w:rPr>
              <w:t>Data point</w:t>
            </w:r>
          </w:p>
        </w:tc>
        <w:tc>
          <w:tcPr>
            <w:tcW w:type="dxa" w:w="2880"/>
            <w:shd w:val="clear" w:color="auto" w:fill="123A83"/>
          </w:tcPr>
          <w:p>
            <w:pPr/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2880"/>
            <w:shd w:val="clear" w:color="auto" w:fill="123A83"/>
          </w:tcPr>
          <w:p>
            <w:pPr/>
            <w:r>
              <w:rPr>
                <w:b/>
                <w:color w:val="FFFFFF"/>
              </w:rPr>
              <w:t>Where it sits on the candle</w:t>
            </w:r>
          </w:p>
        </w:tc>
      </w:tr>
      <w:tr>
        <w:tc>
          <w:tcPr>
            <w:tcW w:type="dxa" w:w="2880"/>
          </w:tcPr>
          <w:p>
            <w:pPr/>
            <w:r>
              <w:t>Open</w:t>
            </w:r>
          </w:p>
        </w:tc>
        <w:tc>
          <w:tcPr>
            <w:tcW w:type="dxa" w:w="2880"/>
          </w:tcPr>
          <w:p>
            <w:pPr/>
            <w:r>
              <w:t>Price at the start of the interval</w:t>
            </w:r>
          </w:p>
        </w:tc>
        <w:tc>
          <w:tcPr>
            <w:tcW w:type="dxa" w:w="2880"/>
          </w:tcPr>
          <w:p>
            <w:pPr/>
            <w:r>
              <w:t>Top or bottom of the body (depends on direction)</w:t>
            </w:r>
          </w:p>
        </w:tc>
      </w:tr>
      <w:tr>
        <w:tc>
          <w:tcPr>
            <w:tcW w:type="dxa" w:w="2880"/>
          </w:tcPr>
          <w:p>
            <w:pPr/>
            <w:r>
              <w:t>High</w:t>
            </w:r>
          </w:p>
        </w:tc>
        <w:tc>
          <w:tcPr>
            <w:tcW w:type="dxa" w:w="2880"/>
          </w:tcPr>
          <w:p>
            <w:pPr/>
            <w:r>
              <w:t>Highest price traded during the interval</w:t>
            </w:r>
          </w:p>
        </w:tc>
        <w:tc>
          <w:tcPr>
            <w:tcW w:type="dxa" w:w="2880"/>
          </w:tcPr>
          <w:p>
            <w:pPr/>
            <w:r>
              <w:t>Top of the upper wick</w:t>
            </w:r>
          </w:p>
        </w:tc>
      </w:tr>
      <w:tr>
        <w:tc>
          <w:tcPr>
            <w:tcW w:type="dxa" w:w="2880"/>
          </w:tcPr>
          <w:p>
            <w:pPr/>
            <w:r>
              <w:t>Low</w:t>
            </w:r>
          </w:p>
        </w:tc>
        <w:tc>
          <w:tcPr>
            <w:tcW w:type="dxa" w:w="2880"/>
          </w:tcPr>
          <w:p>
            <w:pPr/>
            <w:r>
              <w:t>Lowest price traded during the interval</w:t>
            </w:r>
          </w:p>
        </w:tc>
        <w:tc>
          <w:tcPr>
            <w:tcW w:type="dxa" w:w="2880"/>
          </w:tcPr>
          <w:p>
            <w:pPr/>
            <w:r>
              <w:t>Bottom of the lower wick</w:t>
            </w:r>
          </w:p>
        </w:tc>
      </w:tr>
      <w:tr>
        <w:tc>
          <w:tcPr>
            <w:tcW w:type="dxa" w:w="2880"/>
          </w:tcPr>
          <w:p>
            <w:pPr/>
            <w:r>
              <w:t>Close</w:t>
            </w:r>
          </w:p>
        </w:tc>
        <w:tc>
          <w:tcPr>
            <w:tcW w:type="dxa" w:w="2880"/>
          </w:tcPr>
          <w:p>
            <w:pPr/>
            <w:r>
              <w:t>Price at the end of the interval</w:t>
            </w:r>
          </w:p>
        </w:tc>
        <w:tc>
          <w:tcPr>
            <w:tcW w:type="dxa" w:w="2880"/>
          </w:tcPr>
          <w:p>
            <w:pPr/>
            <w:r>
              <w:t>Opposite end of the body from open</w:t>
            </w:r>
          </w:p>
        </w:tc>
      </w:tr>
    </w:tbl>
    <w:p/>
    <w:p>
      <w:r>
        <w:t>[IMAGE: labelled diagram of a bullish candle showing open, high, low, close positions; same diagram for a bearish candle]</w:t>
      </w:r>
    </w:p>
    <w:p>
      <w:r>
        <w:t>Callout (Note): OHLC is the data. The candle is one way to visualise it. You can render the same four numbers as a bar, a line, or a candle — candles won because the coloured body makes direction readable at a glance.</w:t>
      </w:r>
    </w:p>
    <w:p>
      <w:pPr>
        <w:pStyle w:val="Heading2"/>
      </w:pPr>
      <w:r>
        <w:t>Body and Wicks: The Visual Anatomy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candlestick anatomy (primary)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Body = the thick rectangle between open and close (the net move for the interval)</w:t>
      </w:r>
    </w:p>
    <w:p>
      <w:pPr>
        <w:pStyle w:val="ListBullet"/>
      </w:pPr>
      <w:r>
        <w:t>Wicks (also called shadows or tails) = thin lines extending above and below the body, reaching the high and low</w:t>
      </w:r>
    </w:p>
    <w:p>
      <w:pPr>
        <w:pStyle w:val="ListBullet"/>
      </w:pPr>
      <w:r>
        <w:t>Upper wick = distance from body top to the high</w:t>
      </w:r>
    </w:p>
    <w:p>
      <w:pPr>
        <w:pStyle w:val="ListBullet"/>
      </w:pPr>
      <w:r>
        <w:t>Lower wick = distance from body bottom to the low</w:t>
      </w:r>
    </w:p>
    <w:p>
      <w:pPr>
        <w:pStyle w:val="ListBullet"/>
      </w:pPr>
      <w:r>
        <w:t>A candle with no wicks (marubozu) means open/close equalled high/low — rare and signals decisive action</w:t>
      </w:r>
    </w:p>
    <w:p>
      <w:pPr>
        <w:pStyle w:val="ListBullet"/>
      </w:pPr>
      <w:r>
        <w:t>A candle with no body (open = close) is a doji — indecision</w:t>
      </w:r>
    </w:p>
    <w:p>
      <w:r/>
      <w:r>
        <w:rPr>
          <w:b/>
        </w:rPr>
        <w:t>Important:</w:t>
      </w:r>
      <w:r>
        <w:t xml:space="preserve"> avoid naming specific patterns here. Mention marubozu and doji only as "edge cases of the anatomy" — the full pattern treatment belongs in 2.3.1.</w:t>
      </w:r>
    </w:p>
    <w:p>
      <w:r>
        <w:t>[IMAGE: annotated candle diagram showing body, upper wick, lower wick with labels]</w:t>
      </w:r>
    </w:p>
    <w:p>
      <w:pPr>
        <w:pStyle w:val="Heading2"/>
      </w:pPr>
      <w:r>
        <w:t>Bullish vs. Bearish Candles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(body integration — "bullish candle", "bearish candle")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Green / hollow / white body = close above open (buyers won the interval) → bullish candle</w:t>
      </w:r>
    </w:p>
    <w:p>
      <w:pPr>
        <w:pStyle w:val="ListBullet"/>
      </w:pPr>
      <w:r>
        <w:t>Red / filled / black body = close below open (sellers won the interval) → bearish candle</w:t>
      </w:r>
    </w:p>
    <w:p>
      <w:pPr>
        <w:pStyle w:val="ListBullet"/>
      </w:pPr>
      <w:r>
        <w:t>Colour is a platform convention, not a universal standard — always check what your chart is set to</w:t>
      </w:r>
    </w:p>
    <w:p>
      <w:pPr>
        <w:pStyle w:val="ListBullet"/>
      </w:pPr>
      <w:r>
        <w:t>The relationship between open and close determines direction; the body colour is just a visual shortcut</w:t>
      </w:r>
    </w:p>
    <w:p>
      <w:r>
        <w:t>Callout (Tip): Most platforms let you customise candle colours. If you cannot immediately tell direction on a new chart, check the colour settings before reading the market.</w:t>
      </w:r>
    </w:p>
    <w:p>
      <w:pPr>
        <w:pStyle w:val="Heading2"/>
      </w:pPr>
      <w:r>
        <w:t>How to Read a Single Candle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how to read a candlestick chart (H2 match)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Body size tells you conviction: long body = strong directional pressure; small body = balance / indecision</w:t>
      </w:r>
    </w:p>
    <w:p>
      <w:pPr>
        <w:pStyle w:val="ListBullet"/>
      </w:pPr>
      <w:r>
        <w:t>Wick length tells you rejection: long upper wick = price pushed up then got pushed back down; long lower wick = price pushed down then bought back up</w:t>
      </w:r>
    </w:p>
    <w:p>
      <w:pPr>
        <w:pStyle w:val="ListBullet"/>
      </w:pPr>
      <w:r>
        <w:t>The body-to-wick ratio is the fastest sentiment read</w:t>
      </w:r>
    </w:p>
    <w:p>
      <w:pPr>
        <w:pStyle w:val="ListBullet"/>
      </w:pPr>
      <w:r>
        <w:t>No single candle is a signal on its own — it is one data point in a sequence</w:t>
      </w:r>
    </w:p>
    <w:p>
      <w:r>
        <w:t>Table (quick-read guide):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23A83"/>
          </w:tcPr>
          <w:p>
            <w:pPr/>
            <w:r>
              <w:rPr>
                <w:b/>
                <w:color w:val="FFFFFF"/>
              </w:rPr>
              <w:t>Candle shape</w:t>
            </w:r>
          </w:p>
        </w:tc>
        <w:tc>
          <w:tcPr>
            <w:tcW w:type="dxa" w:w="4320"/>
            <w:shd w:val="clear" w:color="auto" w:fill="123A83"/>
          </w:tcPr>
          <w:p>
            <w:pPr/>
            <w:r>
              <w:rPr>
                <w:b/>
                <w:color w:val="FFFFFF"/>
              </w:rPr>
              <w:t>What it suggests</w:t>
            </w:r>
          </w:p>
        </w:tc>
      </w:tr>
      <w:tr>
        <w:tc>
          <w:tcPr>
            <w:tcW w:type="dxa" w:w="4320"/>
          </w:tcPr>
          <w:p>
            <w:pPr/>
            <w:r>
              <w:t>Long body, small wicks</w:t>
            </w:r>
          </w:p>
        </w:tc>
        <w:tc>
          <w:tcPr>
            <w:tcW w:type="dxa" w:w="4320"/>
          </w:tcPr>
          <w:p>
            <w:pPr/>
            <w:r>
              <w:t>Strong directional move, conviction</w:t>
            </w:r>
          </w:p>
        </w:tc>
      </w:tr>
      <w:tr>
        <w:tc>
          <w:tcPr>
            <w:tcW w:type="dxa" w:w="4320"/>
          </w:tcPr>
          <w:p>
            <w:pPr/>
            <w:r>
              <w:t>Small body, long wicks on both sides</w:t>
            </w:r>
          </w:p>
        </w:tc>
        <w:tc>
          <w:tcPr>
            <w:tcW w:type="dxa" w:w="4320"/>
          </w:tcPr>
          <w:p>
            <w:pPr/>
            <w:r>
              <w:t>Indecision, buyers and sellers balanced</w:t>
            </w:r>
          </w:p>
        </w:tc>
      </w:tr>
      <w:tr>
        <w:tc>
          <w:tcPr>
            <w:tcW w:type="dxa" w:w="4320"/>
          </w:tcPr>
          <w:p>
            <w:pPr/>
            <w:r>
              <w:t>Small body, long upper wick</w:t>
            </w:r>
          </w:p>
        </w:tc>
        <w:tc>
          <w:tcPr>
            <w:tcW w:type="dxa" w:w="4320"/>
          </w:tcPr>
          <w:p>
            <w:pPr/>
            <w:r>
              <w:t>Sellers rejected higher prices</w:t>
            </w:r>
          </w:p>
        </w:tc>
      </w:tr>
      <w:tr>
        <w:tc>
          <w:tcPr>
            <w:tcW w:type="dxa" w:w="4320"/>
          </w:tcPr>
          <w:p>
            <w:pPr/>
            <w:r>
              <w:t>Small body, long lower wick</w:t>
            </w:r>
          </w:p>
        </w:tc>
        <w:tc>
          <w:tcPr>
            <w:tcW w:type="dxa" w:w="4320"/>
          </w:tcPr>
          <w:p>
            <w:pPr/>
            <w:r>
              <w:t>Buyers rejected lower prices</w:t>
            </w:r>
          </w:p>
        </w:tc>
      </w:tr>
      <w:tr>
        <w:tc>
          <w:tcPr>
            <w:tcW w:type="dxa" w:w="4320"/>
          </w:tcPr>
          <w:p>
            <w:pPr/>
            <w:r>
              <w:t>No body (open ≈ close)</w:t>
            </w:r>
          </w:p>
        </w:tc>
        <w:tc>
          <w:tcPr>
            <w:tcW w:type="dxa" w:w="4320"/>
          </w:tcPr>
          <w:p>
            <w:pPr/>
            <w:r>
              <w:t>Market undecided</w:t>
            </w:r>
          </w:p>
        </w:tc>
      </w:tr>
    </w:tbl>
    <w:p/>
    <w:p>
      <w:r>
        <w:t>Callout (Keep in Mind): One common mistake is to read a single candle as a trade signal. A candle is a summary of one interval; its meaning changes depending on where it sits in the broader trend and which timeframe you are looking at. Context decides the interpretation, not the candle shape alone.</w:t>
      </w:r>
    </w:p>
    <w:p>
      <w:pPr>
        <w:pStyle w:val="Heading2"/>
      </w:pPr>
      <w:r>
        <w:t>Candlestick vs. OHLC Bar Chart</w:t>
      </w:r>
    </w:p>
    <w:p>
      <w:pPr>
        <w:spacing w:before="40"/>
      </w:pPr>
      <w:r>
        <w:rPr>
          <w:b/>
          <w:color w:val="555555"/>
          <w:sz w:val="20"/>
        </w:rPr>
        <w:t xml:space="preserve">Target keyword: </w:t>
      </w:r>
      <w:r>
        <w:rPr>
          <w:i/>
          <w:color w:val="555555"/>
          <w:sz w:val="20"/>
        </w:rPr>
        <w:t>ohlc vs candlestick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The OHLC bar chart is the older visualisation of the same four data points — a vertical line (high to low) with two short horizontal ticks (open on the left, close on the right)</w:t>
      </w:r>
    </w:p>
    <w:p>
      <w:pPr>
        <w:pStyle w:val="ListBullet"/>
      </w:pPr>
      <w:r>
        <w:t>Both display identical information</w:t>
      </w:r>
    </w:p>
    <w:p>
      <w:pPr>
        <w:pStyle w:val="ListBullet"/>
      </w:pPr>
      <w:r>
        <w:t>Candles replaced bars as the retail standard because the coloured body makes direction readable without comparing two ticks</w:t>
      </w:r>
    </w:p>
    <w:p>
      <w:pPr>
        <w:pStyle w:val="ListBullet"/>
      </w:pPr>
      <w:r>
        <w:t>Bars are still used where visual density matters (institutional charts, long-term monthly/yearly views)</w:t>
      </w:r>
    </w:p>
    <w:p>
      <w:r>
        <w:t>Table: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23A83"/>
          </w:tcPr>
          <w:p>
            <w:pP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880"/>
            <w:shd w:val="clear" w:color="auto" w:fill="123A83"/>
          </w:tcPr>
          <w:p>
            <w:pPr/>
            <w:r>
              <w:rPr>
                <w:b/>
                <w:color w:val="FFFFFF"/>
              </w:rPr>
              <w:t>OHLC Bar</w:t>
            </w:r>
          </w:p>
        </w:tc>
        <w:tc>
          <w:tcPr>
            <w:tcW w:type="dxa" w:w="2880"/>
            <w:shd w:val="clear" w:color="auto" w:fill="123A83"/>
          </w:tcPr>
          <w:p>
            <w:pPr/>
            <w:r>
              <w:rPr>
                <w:b/>
                <w:color w:val="FFFFFF"/>
              </w:rPr>
              <w:t>Candlestick</w:t>
            </w:r>
          </w:p>
        </w:tc>
      </w:tr>
      <w:tr>
        <w:tc>
          <w:tcPr>
            <w:tcW w:type="dxa" w:w="2880"/>
          </w:tcPr>
          <w:p>
            <w:pPr/>
            <w:r>
              <w:t>Data encoded</w:t>
            </w:r>
          </w:p>
        </w:tc>
        <w:tc>
          <w:tcPr>
            <w:tcW w:type="dxa" w:w="2880"/>
          </w:tcPr>
          <w:p>
            <w:pPr/>
            <w:r>
              <w:t>OHLC</w:t>
            </w:r>
          </w:p>
        </w:tc>
        <w:tc>
          <w:tcPr>
            <w:tcW w:type="dxa" w:w="2880"/>
          </w:tcPr>
          <w:p>
            <w:pPr/>
            <w:r>
              <w:t>OHLC</w:t>
            </w:r>
          </w:p>
        </w:tc>
      </w:tr>
      <w:tr>
        <w:tc>
          <w:tcPr>
            <w:tcW w:type="dxa" w:w="2880"/>
          </w:tcPr>
          <w:p>
            <w:pPr/>
            <w:r>
              <w:t>Direction indicator</w:t>
            </w:r>
          </w:p>
        </w:tc>
        <w:tc>
          <w:tcPr>
            <w:tcW w:type="dxa" w:w="2880"/>
          </w:tcPr>
          <w:p>
            <w:pPr/>
            <w:r>
              <w:t>Open/close tick position</w:t>
            </w:r>
          </w:p>
        </w:tc>
        <w:tc>
          <w:tcPr>
            <w:tcW w:type="dxa" w:w="2880"/>
          </w:tcPr>
          <w:p>
            <w:pPr/>
            <w:r>
              <w:t>Body colour</w:t>
            </w:r>
          </w:p>
        </w:tc>
      </w:tr>
      <w:tr>
        <w:tc>
          <w:tcPr>
            <w:tcW w:type="dxa" w:w="2880"/>
          </w:tcPr>
          <w:p>
            <w:pPr/>
            <w:r>
              <w:t>Readability at glance</w:t>
            </w:r>
          </w:p>
        </w:tc>
        <w:tc>
          <w:tcPr>
            <w:tcW w:type="dxa" w:w="2880"/>
          </w:tcPr>
          <w:p>
            <w:pPr/>
            <w:r>
              <w:t>Slower (compare ticks)</w:t>
            </w:r>
          </w:p>
        </w:tc>
        <w:tc>
          <w:tcPr>
            <w:tcW w:type="dxa" w:w="2880"/>
          </w:tcPr>
          <w:p>
            <w:pPr/>
            <w:r>
              <w:t>Faster (colour + body)</w:t>
            </w:r>
          </w:p>
        </w:tc>
      </w:tr>
      <w:tr>
        <w:tc>
          <w:tcPr>
            <w:tcW w:type="dxa" w:w="2880"/>
          </w:tcPr>
          <w:p>
            <w:pPr/>
            <w:r>
              <w:t>Visual density on a chart</w:t>
            </w:r>
          </w:p>
        </w:tc>
        <w:tc>
          <w:tcPr>
            <w:tcW w:type="dxa" w:w="2880"/>
          </w:tcPr>
          <w:p>
            <w:pPr/>
            <w:r>
              <w:t>Higher (thinner)</w:t>
            </w:r>
          </w:p>
        </w:tc>
        <w:tc>
          <w:tcPr>
            <w:tcW w:type="dxa" w:w="2880"/>
          </w:tcPr>
          <w:p>
            <w:pPr/>
            <w:r>
              <w:t>Lower (wider bodies)</w:t>
            </w:r>
          </w:p>
        </w:tc>
      </w:tr>
      <w:tr>
        <w:tc>
          <w:tcPr>
            <w:tcW w:type="dxa" w:w="2880"/>
          </w:tcPr>
          <w:p>
            <w:pPr/>
            <w:r>
              <w:t>Common use</w:t>
            </w:r>
          </w:p>
        </w:tc>
        <w:tc>
          <w:tcPr>
            <w:tcW w:type="dxa" w:w="2880"/>
          </w:tcPr>
          <w:p>
            <w:pPr/>
            <w:r>
              <w:t>Institutional, long-term</w:t>
            </w:r>
          </w:p>
        </w:tc>
        <w:tc>
          <w:tcPr>
            <w:tcW w:type="dxa" w:w="2880"/>
          </w:tcPr>
          <w:p>
            <w:pPr/>
            <w:r>
              <w:t>Retail, short-to-mid term</w:t>
            </w:r>
          </w:p>
        </w:tc>
      </w:tr>
    </w:tbl>
    <w:p/>
    <w:p>
      <w:pPr>
        <w:pStyle w:val="Heading2"/>
      </w:pPr>
      <w:r>
        <w:t>What a Candle Does NOT Tell You</w:t>
      </w:r>
    </w:p>
    <w:p>
      <w:r>
        <w:t>Key points (honesty about limitations — required for TA lesson per Structure Guide):</w:t>
      </w:r>
    </w:p>
    <w:p>
      <w:pPr>
        <w:pStyle w:val="ListBullet"/>
      </w:pPr>
      <w:r>
        <w:t>No information about the **order** of events within the interval — you see the high and low but not whether the high came before the low</w:t>
      </w:r>
    </w:p>
    <w:p>
      <w:pPr>
        <w:pStyle w:val="ListBullet"/>
      </w:pPr>
      <w:r>
        <w:t>No **volume** data by default — candles show price only</w:t>
      </w:r>
    </w:p>
    <w:p>
      <w:pPr>
        <w:pStyle w:val="ListBullet"/>
      </w:pPr>
      <w:r>
        <w:t>The candle is **timeframe-dependent** — the same visual shape means different things on a 1-minute chart versus a 1-day chart</w:t>
      </w:r>
    </w:p>
    <w:p>
      <w:pPr>
        <w:pStyle w:val="ListBullet"/>
      </w:pPr>
      <w:r>
        <w:t>Interpretation relies on context (trend, support/resistance, broader market conditions) — the shape alone is not a signal</w:t>
      </w:r>
    </w:p>
    <w:p>
      <w:r>
        <w:t>Callout (Keep in Mind): Technical analysis tends to make traders see patterns where none exist. A single candle is a compressed summary of many trades; it does not predict the next move. Treat candle readings as one input among several, not as standalone signals.</w:t>
      </w:r>
    </w:p>
    <w:p>
      <w:pPr>
        <w:pStyle w:val="Heading2"/>
      </w:pPr>
      <w:r>
        <w:t>Next Steps in Your Technical Analysis Learning</w:t>
      </w:r>
    </w:p>
    <w:p>
      <w:r>
        <w:rPr>
          <w:b/>
          <w:color w:val="0781FE"/>
        </w:rPr>
        <w:t xml:space="preserve">Key points: </w:t>
      </w:r>
      <w:r/>
    </w:p>
    <w:p>
      <w:pPr>
        <w:pStyle w:val="ListBullet"/>
      </w:pPr>
      <w:r>
        <w:t>Anatomy is the foundation; everything else in chart analysis builds on it</w:t>
      </w:r>
    </w:p>
    <w:p>
      <w:pPr>
        <w:pStyle w:val="ListBullet"/>
      </w:pPr>
      <w:r>
        <w:t>The next logical steps: learn how to choose a timeframe (so your candle reads match your trading style), and then learn specific multi-candle patterns</w:t>
      </w:r>
    </w:p>
    <w:p>
      <w:r>
        <w:t>Internal links summary list:</w:t>
      </w:r>
    </w:p>
    <w:p>
      <w:pPr>
        <w:pStyle w:val="ListBullet"/>
      </w:pPr>
      <w:r>
        <w:t>Chart types (line, bar, candle) — 2.1.1.1.</w:t>
      </w:r>
    </w:p>
    <w:p>
      <w:pPr>
        <w:pStyle w:val="ListBullet"/>
      </w:pPr>
      <w:r>
        <w:t>Choosing timeframes — 2.1.3.</w:t>
      </w:r>
    </w:p>
    <w:p>
      <w:pPr>
        <w:pStyle w:val="ListBullet"/>
      </w:pPr>
      <w:r>
        <w:t>Candlestick patterns — 2.3.1.</w:t>
      </w:r>
    </w:p>
    <w:p>
      <w:pPr>
        <w:pStyle w:val="ListBullet"/>
      </w:pPr>
      <w:r>
        <w:t>Support and resistance — 2.2.1.</w:t>
      </w:r>
    </w:p>
    <w:p>
      <w:pPr>
        <w:pStyle w:val="Heading2"/>
      </w:pPr>
      <w:r>
        <w:t>Internal Links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Link Text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Target Lesson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Slug</w:t>
            </w:r>
          </w:p>
        </w:tc>
        <w:tc>
          <w:tcPr>
            <w:tcW w:type="dxa" w:w="1728"/>
            <w:shd w:val="clear" w:color="auto" w:fill="123A83"/>
          </w:tcPr>
          <w:p>
            <w:pPr/>
            <w:r>
              <w:rPr>
                <w:b/>
                <w:color w:val="FFFFFF"/>
              </w:rPr>
              <w:t>Placement</w:t>
            </w:r>
          </w:p>
        </w:tc>
      </w:tr>
      <w:tr>
        <w:tc>
          <w:tcPr>
            <w:tcW w:type="dxa" w:w="1728"/>
          </w:tcPr>
          <w:p>
            <w:pPr/>
            <w:r>
              <w:t>1</w:t>
            </w:r>
          </w:p>
        </w:tc>
        <w:tc>
          <w:tcPr>
            <w:tcW w:type="dxa" w:w="1728"/>
          </w:tcPr>
          <w:p>
            <w:pPr/>
            <w:r>
              <w:t>types of trading charts</w:t>
            </w:r>
          </w:p>
        </w:tc>
        <w:tc>
          <w:tcPr>
            <w:tcW w:type="dxa" w:w="1728"/>
          </w:tcPr>
          <w:p>
            <w:pPr/>
            <w:r>
              <w:t>2.1.1.1. Types of Trading Charts</w:t>
            </w:r>
          </w:p>
        </w:tc>
        <w:tc>
          <w:tcPr>
            <w:tcW w:type="dxa" w:w="1728"/>
          </w:tcPr>
          <w:p>
            <w:pPr/>
            <w:r>
              <w:t>types-of-trading-charts</w:t>
            </w:r>
          </w:p>
        </w:tc>
        <w:tc>
          <w:tcPr>
            <w:tcW w:type="dxa" w:w="1728"/>
          </w:tcPr>
          <w:p>
            <w:pPr/>
            <w:r>
              <w:t>Intro or "Candlestick vs. OHLC Bar" section</w:t>
            </w:r>
          </w:p>
        </w:tc>
      </w:tr>
      <w:tr>
        <w:tc>
          <w:tcPr>
            <w:tcW w:type="dxa" w:w="1728"/>
          </w:tcPr>
          <w:p>
            <w:pPr/>
            <w:r>
              <w:t>2</w:t>
            </w:r>
          </w:p>
        </w:tc>
        <w:tc>
          <w:tcPr>
            <w:tcW w:type="dxa" w:w="1728"/>
          </w:tcPr>
          <w:p>
            <w:pPr/>
            <w:r>
              <w:t>choosing the right timeframe</w:t>
            </w:r>
          </w:p>
        </w:tc>
        <w:tc>
          <w:tcPr>
            <w:tcW w:type="dxa" w:w="1728"/>
          </w:tcPr>
          <w:p>
            <w:pPr/>
            <w:r>
              <w:t>2.1.3. Choosing Timeframes by Trading Style</w:t>
            </w:r>
          </w:p>
        </w:tc>
        <w:tc>
          <w:tcPr>
            <w:tcW w:type="dxa" w:w="1728"/>
          </w:tcPr>
          <w:p>
            <w:pPr/>
            <w:r>
              <w:t>choosing-timeframe-by-trading-style</w:t>
            </w:r>
          </w:p>
        </w:tc>
        <w:tc>
          <w:tcPr>
            <w:tcW w:type="dxa" w:w="1728"/>
          </w:tcPr>
          <w:p>
            <w:pPr/>
            <w:r>
              <w:t>"What a Candle Does NOT Tell You" (timeframe limitation)</w:t>
            </w:r>
          </w:p>
        </w:tc>
      </w:tr>
      <w:tr>
        <w:tc>
          <w:tcPr>
            <w:tcW w:type="dxa" w:w="1728"/>
          </w:tcPr>
          <w:p>
            <w:pPr/>
            <w:r>
              <w:t>3</w:t>
            </w:r>
          </w:p>
        </w:tc>
        <w:tc>
          <w:tcPr>
            <w:tcW w:type="dxa" w:w="1728"/>
          </w:tcPr>
          <w:p>
            <w:pPr/>
            <w:r>
              <w:t>candlestick patterns</w:t>
            </w:r>
          </w:p>
        </w:tc>
        <w:tc>
          <w:tcPr>
            <w:tcW w:type="dxa" w:w="1728"/>
          </w:tcPr>
          <w:p>
            <w:pPr/>
            <w:r>
              <w:t>2.3.1. Candlestick Patterns</w:t>
            </w:r>
          </w:p>
        </w:tc>
        <w:tc>
          <w:tcPr>
            <w:tcW w:type="dxa" w:w="1728"/>
          </w:tcPr>
          <w:p>
            <w:pPr/>
            <w:r>
              <w:t>japanese-candlesticks</w:t>
            </w:r>
          </w:p>
        </w:tc>
        <w:tc>
          <w:tcPr>
            <w:tcW w:type="dxa" w:w="1728"/>
          </w:tcPr>
          <w:p>
            <w:pPr/>
            <w:r>
              <w:t>"Next Steps" + "Body and Wicks" (marubozu/doji mention)</w:t>
            </w:r>
          </w:p>
        </w:tc>
      </w:tr>
      <w:tr>
        <w:tc>
          <w:tcPr>
            <w:tcW w:type="dxa" w:w="1728"/>
          </w:tcPr>
          <w:p>
            <w:pPr/>
            <w:r>
              <w:t>4</w:t>
            </w:r>
          </w:p>
        </w:tc>
        <w:tc>
          <w:tcPr>
            <w:tcW w:type="dxa" w:w="1728"/>
          </w:tcPr>
          <w:p>
            <w:pPr/>
            <w:r>
              <w:t>support and resistance</w:t>
            </w:r>
          </w:p>
        </w:tc>
        <w:tc>
          <w:tcPr>
            <w:tcW w:type="dxa" w:w="1728"/>
          </w:tcPr>
          <w:p>
            <w:pPr/>
            <w:r>
              <w:t>2.2.1. Support and Resistance</w:t>
            </w:r>
          </w:p>
        </w:tc>
        <w:tc>
          <w:tcPr>
            <w:tcW w:type="dxa" w:w="1728"/>
          </w:tcPr>
          <w:p>
            <w:pPr/>
            <w:r>
              <w:t>support-and-resistance</w:t>
            </w:r>
          </w:p>
        </w:tc>
        <w:tc>
          <w:tcPr>
            <w:tcW w:type="dxa" w:w="1728"/>
          </w:tcPr>
          <w:p>
            <w:pPr/>
            <w:r>
              <w:t>"Next Steps" (context use)</w:t>
            </w:r>
          </w:p>
        </w:tc>
      </w:tr>
      <w:tr>
        <w:tc>
          <w:tcPr>
            <w:tcW w:type="dxa" w:w="1728"/>
          </w:tcPr>
          <w:p>
            <w:pPr/>
            <w:r>
              <w:t>5</w:t>
            </w:r>
          </w:p>
        </w:tc>
        <w:tc>
          <w:tcPr>
            <w:tcW w:type="dxa" w:w="1728"/>
          </w:tcPr>
          <w:p>
            <w:pPr/>
            <w:r>
              <w:t>ranges vs trends</w:t>
            </w:r>
          </w:p>
        </w:tc>
        <w:tc>
          <w:tcPr>
            <w:tcW w:type="dxa" w:w="1728"/>
          </w:tcPr>
          <w:p>
            <w:pPr/>
            <w:r>
              <w:t>2.2.3. Market Environment: Ranges vs Trends</w:t>
            </w:r>
          </w:p>
        </w:tc>
        <w:tc>
          <w:tcPr>
            <w:tcW w:type="dxa" w:w="1728"/>
          </w:tcPr>
          <w:p>
            <w:pPr/>
            <w:r>
              <w:t>ranges-vs-trends</w:t>
            </w:r>
          </w:p>
        </w:tc>
        <w:tc>
          <w:tcPr>
            <w:tcW w:type="dxa" w:w="1728"/>
          </w:tcPr>
          <w:p>
            <w:pPr/>
            <w:r>
              <w:t>"Next Steps" (market context)</w:t>
            </w:r>
          </w:p>
        </w:tc>
      </w:tr>
    </w:tbl>
    <w:p/>
    <w:p>
      <w:r>
        <w:t>Minimum 3 links will appear naturally in body; target 4–5 total for the lesson.</w:t>
      </w:r>
    </w:p>
    <w:p>
      <w:pPr>
        <w:pStyle w:val="Heading2"/>
      </w:pPr>
      <w:r>
        <w:t>Content Validation</w:t>
      </w:r>
    </w:p>
    <w:p>
      <w:r/>
      <w:r>
        <w:rPr>
          <w:b/>
        </w:rPr>
        <w:t>Trading-expert review (self-check):</w:t>
      </w:r>
      <w:r/>
    </w:p>
    <w:p>
      <w:pPr>
        <w:pStyle w:val="ListBullet"/>
      </w:pPr>
      <w:r>
        <w:t>Structure follows beginner didactic order: what a candle represents → data (OHLC) → visual anatomy (body/wicks) → direction (colour) → reading → comparison (bar vs candle) → honest limitations → next steps</w:t>
      </w:r>
    </w:p>
    <w:p>
      <w:pPr>
        <w:pStyle w:val="ListBullet"/>
      </w:pPr>
      <w:r>
        <w:t>All foundational concepts for OHLC/anatomy are covered; nothing advanced assumed</w:t>
      </w:r>
    </w:p>
    <w:p>
      <w:pPr>
        <w:pStyle w:val="ListBullet"/>
      </w:pPr>
      <w:r>
        <w:t>Specific pattern names (doji, hammer, engulfing) deliberately excluded — clean handoff to 2.3.1.</w:t>
      </w:r>
    </w:p>
    <w:p>
      <w:pPr>
        <w:pStyle w:val="ListBullet"/>
      </w:pPr>
      <w:r>
        <w:t>Timeframe dependency mentioned as a limitation, not a separate chapter — clean handoff to 2.1.3.</w:t>
      </w:r>
    </w:p>
    <w:p>
      <w:pPr>
        <w:pStyle w:val="ListBullet"/>
      </w:pPr>
      <w:r>
        <w:t>Comparison to OHLC bar chart is genuinely useful context (not filler) — many traders first saw bar charts</w:t>
      </w:r>
    </w:p>
    <w:p>
      <w:pPr>
        <w:pStyle w:val="ListBullet"/>
      </w:pPr>
      <w:r>
        <w:t>Keep-in-Mind callout on pattern overfitting aligns with Structure Guide YMYL requirement for TA content</w:t>
      </w:r>
    </w:p>
    <w:p>
      <w:pPr>
        <w:pStyle w:val="ListBullet"/>
      </w:pPr>
      <w:r>
        <w:t>Word count target (1,500–1,800) sits below competitor average (2,200–5,500) — justified by strict scope</w:t>
      </w:r>
    </w:p>
    <w:p>
      <w:r/>
      <w:r>
        <w:rPr>
          <w:b/>
        </w:rPr>
        <w:t>Potential concerns:</w:t>
      </w:r>
      <w:r/>
    </w:p>
    <w:p>
      <w:pPr>
        <w:pStyle w:val="ListBullet"/>
      </w:pPr>
      <w:r>
        <w:t>Risk that "What a Candle Does NOT Tell You" feels negative for a beginner. Mitigation: frame as "honest foundation" not "warnings" — this is Academy ToV (realistic educator, not cheerleader).</w:t>
      </w:r>
    </w:p>
    <w:p>
      <w:pPr>
        <w:pStyle w:val="ListBullet"/>
      </w:pPr>
      <w:r>
        <w:t>Marubozu and doji are named in "Body and Wicks". This is minimal pattern mention needed to describe anatomy edge cases (no-wick, no-body). Kept to single-word references without pattern interpretation. If trading expert prefers zero pattern names, remove and describe structurally only.</w:t>
      </w:r>
    </w:p>
    <w:p>
      <w:r/>
      <w:r>
        <w:rPr>
          <w:b/>
        </w:rPr>
        <w:t>Validation: PASS</w:t>
      </w:r>
      <w:r>
        <w:t xml:space="preserve"> (pending trading-expert review of .docx)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3A8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3A8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23A8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23A8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