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Brief &amp; Outline: Candlestick Patterns</w:t>
      </w:r>
    </w:p>
    <w:p>
      <w:pPr>
        <w:pStyle w:val="Heading2"/>
      </w:pPr>
      <w:r>
        <w:t>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t>Topic</w:t>
            </w:r>
          </w:p>
        </w:tc>
        <w:tc>
          <w:tcPr>
            <w:tcW w:type="dxa" w:w="4320"/>
          </w:tcPr>
          <w:p>
            <w:pPr/>
            <w:r>
              <w:t>Candlestick Patterns</w:t>
            </w:r>
          </w:p>
        </w:tc>
      </w:tr>
      <w:tr>
        <w:tc>
          <w:tcPr>
            <w:tcW w:type="dxa" w:w="4320"/>
          </w:tcPr>
          <w:p>
            <w:pPr/>
            <w:r>
              <w:t>Czech Title</w:t>
            </w:r>
          </w:p>
        </w:tc>
        <w:tc>
          <w:tcPr>
            <w:tcW w:type="dxa" w:w="4320"/>
          </w:tcPr>
          <w:p>
            <w:pPr/>
            <w:r>
              <w:t>Svíčkové formace</w:t>
            </w:r>
          </w:p>
        </w:tc>
      </w:tr>
      <w:tr>
        <w:tc>
          <w:tcPr>
            <w:tcW w:type="dxa" w:w="4320"/>
          </w:tcPr>
          <w:p>
            <w:pPr/>
            <w:r>
              <w:t>Slug</w:t>
            </w:r>
          </w:p>
        </w:tc>
        <w:tc>
          <w:tcPr>
            <w:tcW w:type="dxa" w:w="4320"/>
          </w:tcPr>
          <w:p>
            <w:pPr/>
            <w:r>
              <w:t>candlestick-patterns</w:t>
            </w:r>
          </w:p>
        </w:tc>
      </w:tr>
      <w:tr>
        <w:tc>
          <w:tcPr>
            <w:tcW w:type="dxa" w:w="4320"/>
          </w:tcPr>
          <w:p>
            <w:pPr/>
            <w:r>
              <w:t>Lokace</w:t>
            </w:r>
          </w:p>
        </w:tc>
        <w:tc>
          <w:tcPr>
            <w:tcW w:type="dxa" w:w="4320"/>
          </w:tcPr>
          <w:p>
            <w:pPr/>
            <w:r>
              <w:t>2.3.</w:t>
            </w:r>
          </w:p>
        </w:tc>
      </w:tr>
      <w:tr>
        <w:tc>
          <w:tcPr>
            <w:tcW w:type="dxa" w:w="4320"/>
          </w:tcPr>
          <w:p>
            <w:pPr/>
            <w:r>
              <w:t>Level</w:t>
            </w:r>
          </w:p>
        </w:tc>
        <w:tc>
          <w:tcPr>
            <w:tcW w:type="dxa" w:w="4320"/>
          </w:tcPr>
          <w:p>
            <w:pPr/>
            <w:r>
              <w:t>Lekce (overview article)</w:t>
            </w:r>
          </w:p>
        </w:tc>
      </w:tr>
      <w:tr>
        <w:tc>
          <w:tcPr>
            <w:tcW w:type="dxa" w:w="4320"/>
          </w:tcPr>
          <w:p>
            <w:pPr/>
            <w:r>
              <w:t>Part</w:t>
            </w:r>
          </w:p>
        </w:tc>
        <w:tc>
          <w:tcPr>
            <w:tcW w:type="dxa" w:w="4320"/>
          </w:tcPr>
          <w:p>
            <w:pPr/>
            <w:r>
              <w:t>Part 2 — Trading Analysis</w:t>
            </w:r>
          </w:p>
        </w:tc>
      </w:tr>
      <w:tr>
        <w:tc>
          <w:tcPr>
            <w:tcW w:type="dxa" w:w="4320"/>
          </w:tcPr>
          <w:p>
            <w:pPr/>
            <w:r>
              <w:t>Module</w:t>
            </w:r>
          </w:p>
        </w:tc>
        <w:tc>
          <w:tcPr>
            <w:tcW w:type="dxa" w:w="4320"/>
          </w:tcPr>
          <w:p>
            <w:pPr/>
            <w:r>
              <w:t>2.3. Svíčkové formace</w:t>
            </w:r>
          </w:p>
        </w:tc>
      </w:tr>
      <w:tr>
        <w:tc>
          <w:tcPr>
            <w:tcW w:type="dxa" w:w="4320"/>
          </w:tcPr>
          <w:p>
            <w:pPr/>
            <w:r>
              <w:t>Position</w:t>
            </w:r>
          </w:p>
        </w:tc>
        <w:tc>
          <w:tcPr>
            <w:tcW w:type="dxa" w:w="4320"/>
          </w:tcPr>
          <w:p>
            <w:pPr/>
            <w:r>
              <w:t>Lesson 3 of 10 in Part 2 (follows 2.2. Market structure, precedes 2.4.)</w:t>
            </w:r>
          </w:p>
        </w:tc>
      </w:tr>
      <w:tr>
        <w:tc>
          <w:tcPr>
            <w:tcW w:type="dxa" w:w="4320"/>
          </w:tcPr>
          <w:p>
            <w:pPr/>
            <w:r>
              <w:t>Classification</w:t>
            </w:r>
          </w:p>
        </w:tc>
        <w:tc>
          <w:tcPr>
            <w:tcW w:type="dxa" w:w="4320"/>
          </w:tcPr>
          <w:p>
            <w:pPr/>
            <w:r>
              <w:t>BEGINNER — entry-level overview of pattern reading, no prior pattern knowledge assumed</w:t>
            </w:r>
          </w:p>
        </w:tc>
      </w:tr>
      <w:tr>
        <w:tc>
          <w:tcPr>
            <w:tcW w:type="dxa" w:w="4320"/>
          </w:tcPr>
          <w:p>
            <w:pPr/>
            <w:r>
              <w:t>Word Count</w:t>
            </w:r>
          </w:p>
        </w:tc>
        <w:tc>
          <w:tcPr>
            <w:tcW w:type="dxa" w:w="4320"/>
          </w:tcPr>
          <w:p>
            <w:pPr/>
            <w:r>
              <w:t>400–700 words — Lekce overview; chapter 2.3.1. carries the depth</w:t>
            </w:r>
          </w:p>
        </w:tc>
      </w:tr>
    </w:tbl>
    <w:p/>
    <w:p>
      <w:pPr>
        <w:pStyle w:val="Heading2"/>
      </w:pPr>
      <w:r>
        <w:t>Differentiation</w:t>
      </w:r>
    </w:p>
    <w:p>
      <w:pPr>
        <w:pStyle w:val="ListBullet"/>
      </w:pPr>
      <w:r>
        <w:rPr>
          <w:b/>
        </w:rPr>
        <w:t>Short navigational overview, not a deep dive.</w:t>
      </w:r>
      <w:r>
        <w:t xml:space="preserve"> Competitors publish 3,500–9,000-word exhaustive pattern catalogues. This Lekce acts as a concise map to the chapter and individual pattern articles.</w:t>
      </w:r>
    </w:p>
    <w:p>
      <w:pPr>
        <w:pStyle w:val="ListBullet"/>
      </w:pPr>
      <w:r>
        <w:rPr>
          <w:b/>
        </w:rPr>
        <w:t>One explicit category framework.</w:t>
      </w:r>
      <w:r>
        <w:t xml:space="preserve"> The Lekce commits to a single framework — reversal / continuation / indecision — so the reader does not meet three competing schemes across the series. Bullish/bearish are treated as attributes of patterns, not the top-level split.</w:t>
      </w:r>
    </w:p>
    <w:p>
      <w:pPr>
        <w:pStyle w:val="ListBullet"/>
      </w:pPr>
      <w:r>
        <w:rPr>
          <w:b/>
        </w:rPr>
        <w:t>Context over count.</w:t>
      </w:r>
      <w:r>
        <w:t xml:space="preserve"> The overview states up front that the same candle shape carries different meaning depending on the surrounding trend. This differentiates from dictionary-style lists and aligns with the Academy "realistic educator" ToV.</w:t>
      </w:r>
    </w:p>
    <w:p>
      <w:pPr>
        <w:pStyle w:val="ListBullet"/>
      </w:pPr>
      <w:r>
        <w:rPr>
          <w:b/>
        </w:rPr>
        <w:t>Honest limitations framing.</w:t>
      </w:r>
      <w:r>
        <w:t xml:space="preserve"> One "Keep in Mind" callout on pattern reliability and confirmation, placed early — trains readers to approach the chapter with realistic expectations.</w:t>
      </w:r>
    </w:p>
    <w:p>
      <w:pPr>
        <w:pStyle w:val="ListBullet"/>
      </w:pPr>
      <w:r>
        <w:rPr>
          <w:b/>
        </w:rPr>
        <w:t>Routing, not teaching.</w:t>
      </w:r>
      <w:r>
        <w:t xml:space="preserve"> The Lekce deliberately does not explain individual patterns. Explanations live in the chapter (2.3.1.) and the pattern subtopics (2.3.1.x). The Lekce's job is orientation.</w:t>
      </w:r>
    </w:p>
    <w:p>
      <w:pPr>
        <w:pStyle w:val="Heading2"/>
      </w:pPr>
      <w:r>
        <w:t>Keywords — Headings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Keyword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Heading assignment</w:t>
            </w:r>
          </w:p>
        </w:tc>
      </w:tr>
      <w:tr>
        <w:tc>
          <w:tcPr>
            <w:tcW w:type="dxa" w:w="2160"/>
          </w:tcPr>
          <w:p>
            <w:pPr/>
            <w:r>
              <w:t>1</w:t>
            </w:r>
          </w:p>
        </w:tc>
        <w:tc>
          <w:tcPr>
            <w:tcW w:type="dxa" w:w="2160"/>
          </w:tcPr>
          <w:p>
            <w:pPr/>
            <w:r>
              <w:t>candlestick patterns</w:t>
            </w:r>
          </w:p>
        </w:tc>
        <w:tc>
          <w:tcPr>
            <w:tcW w:type="dxa" w:w="2160"/>
          </w:tcPr>
          <w:p>
            <w:pPr/>
            <w:r>
              <w:t>14,800</w:t>
            </w:r>
          </w:p>
        </w:tc>
        <w:tc>
          <w:tcPr>
            <w:tcW w:type="dxa" w:w="2160"/>
          </w:tcPr>
          <w:p>
            <w:pPr/>
            <w:r>
              <w:t>H1</w:t>
            </w:r>
          </w:p>
        </w:tc>
      </w:tr>
      <w:tr>
        <w:tc>
          <w:tcPr>
            <w:tcW w:type="dxa" w:w="2160"/>
          </w:tcPr>
          <w:p>
            <w:pPr/>
            <w:r>
              <w:t>2</w:t>
            </w:r>
          </w:p>
        </w:tc>
        <w:tc>
          <w:tcPr>
            <w:tcW w:type="dxa" w:w="2160"/>
          </w:tcPr>
          <w:p>
            <w:pPr/>
            <w:r>
              <w:t>candlestick patterns for trading</w:t>
            </w:r>
          </w:p>
        </w:tc>
        <w:tc>
          <w:tcPr>
            <w:tcW w:type="dxa" w:w="2160"/>
          </w:tcPr>
          <w:p>
            <w:pPr/>
            <w:r>
              <w:t>1,600</w:t>
            </w:r>
          </w:p>
        </w:tc>
        <w:tc>
          <w:tcPr>
            <w:tcW w:type="dxa" w:w="2160"/>
          </w:tcPr>
          <w:p>
            <w:pPr/>
            <w:r>
              <w:t>H2 (Why they matter)</w:t>
            </w:r>
          </w:p>
        </w:tc>
      </w:tr>
      <w:tr>
        <w:tc>
          <w:tcPr>
            <w:tcW w:type="dxa" w:w="2160"/>
          </w:tcPr>
          <w:p>
            <w:pPr/>
            <w:r>
              <w:t>3</w:t>
            </w:r>
          </w:p>
        </w:tc>
        <w:tc>
          <w:tcPr>
            <w:tcW w:type="dxa" w:w="2160"/>
          </w:tcPr>
          <w:p>
            <w:pPr/>
            <w:r>
              <w:t>reversal candlestick patterns</w:t>
            </w:r>
          </w:p>
        </w:tc>
        <w:tc>
          <w:tcPr>
            <w:tcW w:type="dxa" w:w="2160"/>
          </w:tcPr>
          <w:p>
            <w:pPr/>
            <w:r>
              <w:t>1,300</w:t>
            </w:r>
          </w:p>
        </w:tc>
        <w:tc>
          <w:tcPr>
            <w:tcW w:type="dxa" w:w="2160"/>
          </w:tcPr>
          <w:p>
            <w:pPr/>
            <w:r>
              <w:t>H3 or body (What you will learn)</w:t>
            </w:r>
          </w:p>
        </w:tc>
      </w:tr>
      <w:tr>
        <w:tc>
          <w:tcPr>
            <w:tcW w:type="dxa" w:w="2160"/>
          </w:tcPr>
          <w:p>
            <w:pPr/>
            <w:r>
              <w:t>4</w:t>
            </w:r>
          </w:p>
        </w:tc>
        <w:tc>
          <w:tcPr>
            <w:tcW w:type="dxa" w:w="2160"/>
          </w:tcPr>
          <w:p>
            <w:pPr/>
            <w:r>
              <w:t>bullish candlestick patterns</w:t>
            </w:r>
          </w:p>
        </w:tc>
        <w:tc>
          <w:tcPr>
            <w:tcW w:type="dxa" w:w="2160"/>
          </w:tcPr>
          <w:p>
            <w:pPr/>
            <w:r>
              <w:t>1,900</w:t>
            </w:r>
          </w:p>
        </w:tc>
        <w:tc>
          <w:tcPr>
            <w:tcW w:type="dxa" w:w="2160"/>
          </w:tcPr>
          <w:p>
            <w:pPr/>
            <w:r>
              <w:t>Body (What you will learn)</w:t>
            </w:r>
          </w:p>
        </w:tc>
      </w:tr>
      <w:tr>
        <w:tc>
          <w:tcPr>
            <w:tcW w:type="dxa" w:w="2160"/>
          </w:tcPr>
          <w:p>
            <w:pPr/>
            <w:r>
              <w:t>5</w:t>
            </w:r>
          </w:p>
        </w:tc>
        <w:tc>
          <w:tcPr>
            <w:tcW w:type="dxa" w:w="2160"/>
          </w:tcPr>
          <w:p>
            <w:pPr/>
            <w:r>
              <w:t>bearish candlestick patterns</w:t>
            </w:r>
          </w:p>
        </w:tc>
        <w:tc>
          <w:tcPr>
            <w:tcW w:type="dxa" w:w="2160"/>
          </w:tcPr>
          <w:p>
            <w:pPr/>
            <w:r>
              <w:t>1,300</w:t>
            </w:r>
          </w:p>
        </w:tc>
        <w:tc>
          <w:tcPr>
            <w:tcW w:type="dxa" w:w="2160"/>
          </w:tcPr>
          <w:p>
            <w:pPr/>
            <w:r>
              <w:t>Body (What you will learn)</w:t>
            </w:r>
          </w:p>
        </w:tc>
      </w:tr>
      <w:tr>
        <w:tc>
          <w:tcPr>
            <w:tcW w:type="dxa" w:w="2160"/>
          </w:tcPr>
          <w:p>
            <w:pPr/>
            <w:r>
              <w:t>—</w:t>
            </w:r>
          </w:p>
        </w:tc>
        <w:tc>
          <w:tcPr>
            <w:tcW w:type="dxa" w:w="2160"/>
          </w:tcPr>
          <w:p>
            <w:pPr/>
            <w:r>
              <w:t>Remaining 7 keywords</w:t>
            </w:r>
          </w:p>
        </w:tc>
        <w:tc>
          <w:tcPr>
            <w:tcW w:type="dxa" w:w="2160"/>
          </w:tcPr>
          <w:p>
            <w:pPr/>
            <w:r>
              <w:t>—</w:t>
            </w:r>
          </w:p>
        </w:tc>
        <w:tc>
          <w:tcPr>
            <w:tcW w:type="dxa" w:w="2160"/>
          </w:tcPr>
          <w:p>
            <w:pPr/>
            <w:r>
              <w:t>Step 3 body (where natural) — most refer to specific patterns covered in 2.3.1.x</w:t>
            </w:r>
          </w:p>
        </w:tc>
      </w:tr>
    </w:tbl>
    <w:p/>
    <w:p>
      <w:pPr>
        <w:pStyle w:val="Heading2"/>
      </w:pPr>
      <w:r>
        <w:t>Outline</w:t>
      </w:r>
    </w:p>
    <w:p>
      <w:pPr>
        <w:pStyle w:val="Heading1"/>
      </w:pPr>
      <w:r>
        <w:t>Candlestick Patterns</w:t>
      </w:r>
    </w:p>
    <w:p>
      <w:r>
        <w:rPr>
          <w:b/>
          <w:color w:val="0781FE"/>
        </w:rPr>
        <w:t xml:space="preserve">Key point: </w:t>
      </w:r>
      <w:r>
        <w:t>orient the reader to what candlestick patterns are, why they matter, and how the full chapter is structured.</w:t>
      </w:r>
    </w:p>
    <w:p>
      <w:pPr>
        <w:pStyle w:val="Heading2"/>
      </w:pPr>
      <w:r>
        <w:t>Intro (no heading — sits directly under H1)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One short paragraph (40–70 words): define a candlestick pattern as a visual signal built from one or more candles, based on open, high, low, and close. Reference earlier lessons on chart types (2.1.1.) and candle anatomy (2.1.2.) as assumed knowledge.</w:t>
      </w:r>
    </w:p>
    <w:p>
      <w:pPr>
        <w:pStyle w:val="ListBullet"/>
      </w:pPr>
      <w:r>
        <w:t>One short paragraph: state what this lesson does — introduce the categories and route the reader to the in-depth chapter. Be explicit that this is an overview, not a catalogue.</w:t>
      </w:r>
    </w:p>
    <w:p>
      <w:r>
        <w:t>Internal link: `/lesson/types-of-trading-charts/` (2.1.1.) and `/lesson/candlestick-anatomy-ohlc/` (2.1.2.) inline in the first paragraph as "covered earlier in the course".</w:t>
      </w:r>
    </w:p>
    <w:p>
      <w:pPr>
        <w:pStyle w:val="Heading2"/>
      </w:pPr>
      <w:r>
        <w:t>What you will learn in this lesson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`bullish candlestick patterns`, `bearish candlestick patterns`, `reversal candlestick patterns` — woven naturally into the bullet descriptions.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Opening lead-in sentence (not a heading): tell the reader the chapter ahead covers three families of patterns and why each family matters. The bullets below preview those families.</w:t>
      </w:r>
    </w:p>
    <w:p>
      <w:pPr>
        <w:pStyle w:val="ListBullet"/>
      </w:pPr>
      <w:r>
        <w:t>Four scannable items, each a single short paragraph or tight bullet (1–2 sentences each): what the category is + why it matters for a trader. No pattern is explained here; each is named and linked.</w:t>
      </w:r>
    </w:p>
    <w:p>
      <w:r>
        <w:t>Bullet list (not H3s — keeps the Lekce compact):</w:t>
      </w:r>
    </w:p>
    <w:p>
      <w:pPr>
        <w:pStyle w:val="ListBullet"/>
      </w:pPr>
      <w:r>
        <w:rPr>
          <w:b/>
        </w:rPr>
        <w:t>Reversal patterns</w:t>
      </w:r>
      <w:r>
        <w:t xml:space="preserve"> — signal a potential turn at the end of a trend. Covers single-candle signals (Hammer, Shooting Star, Doji variants) and multi-candle formations (Engulfing, Morning Star, Evening Star, Harami, Tweezer Top/Bottom). These are the patterns most beginners learn first because they mark decision points.</w:t>
      </w:r>
    </w:p>
    <w:p>
      <w:pPr>
        <w:pStyle w:val="ListBullet"/>
      </w:pPr>
      <w:r>
        <w:rPr>
          <w:b/>
        </w:rPr>
        <w:t>Continuation and strength patterns</w:t>
      </w:r>
      <w:r>
        <w:t xml:space="preserve"> — signal the trend is likely to persist. Includes Marubozu, Three White Soldiers, and Inside Bar. These help traders stay with a move rather than fade it.</w:t>
      </w:r>
    </w:p>
    <w:p>
      <w:pPr>
        <w:pStyle w:val="ListBullet"/>
      </w:pPr>
      <w:r>
        <w:rPr>
          <w:b/>
        </w:rPr>
        <w:t>Indecision patterns</w:t>
      </w:r>
      <w:r>
        <w:t xml:space="preserve"> — signal that neither side has control. Doji and Spinning Top sit here. They rarely trigger a trade on their own but often precede a directional move.</w:t>
      </w:r>
    </w:p>
    <w:p>
      <w:pPr>
        <w:pStyle w:val="ListBullet"/>
      </w:pPr>
      <w:r>
        <w:rPr>
          <w:b/>
        </w:rPr>
        <w:t>Reading candles in context</w:t>
      </w:r>
      <w:r>
        <w:t xml:space="preserve"> — the single most important section. The same candle means different things at support, at resistance, or mid-trend. The chapter covers how to interpret shape alongside trend and location.</w:t>
      </w:r>
    </w:p>
    <w:p>
      <w:r>
        <w:t>List format: bullet list with bold lead-in term, then one or two sentences. Each bulleted item links (or placeholder-links) to its corresponding 2.3.1.x article.</w:t>
      </w:r>
    </w:p>
    <w:p>
      <w:r>
        <w:t xml:space="preserve">Callout: </w:t>
      </w:r>
      <w:r>
        <w:rPr>
          <w:b/>
        </w:rPr>
        <w:t>Keep in Mind</w:t>
      </w:r>
      <w:r>
        <w:t xml:space="preserve"> — pattern-based trading has real limitations. A candlestick pattern is a probabilistic signal, not a guarantee; most traders combine patterns with trend context and at least one confirming tool.</w:t>
      </w:r>
    </w:p>
    <w:p>
      <w:r>
        <w:t>Internal link placement: one link per bullet to its underlying pattern article, plus one link to the chapter landing page (2.3.1.).</w:t>
      </w:r>
    </w:p>
    <w:p>
      <w:pPr>
        <w:pStyle w:val="Heading2"/>
      </w:pPr>
      <w:r>
        <w:t>Why candlestick patterns matter for traders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`candlestick patterns for trading`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One paragraph (40–70 words): explain the two practical benefits — speed (a glance shows who is in control of a time period) and structure (patterns give consistent rules for what to look for, replacing instinct). Frame them as a reading layer, not a complete strategy.</w:t>
      </w:r>
    </w:p>
    <w:p>
      <w:pPr>
        <w:pStyle w:val="ListBullet"/>
      </w:pPr>
      <w:r>
        <w:t>One paragraph (40–70 words): address the realistic expectation. Patterns are one input among several; they work best combined with trend context (already covered in 2.2.) and with a defined risk rule (covered in Part 3). Avoid any language suggesting patterns "predict" price.</w:t>
      </w:r>
    </w:p>
    <w:p>
      <w:r>
        <w:t>Internal link: `/lesson/market-environment-ranges-vs-trends/` (2.2.3.) inline.</w:t>
      </w:r>
    </w:p>
    <w:p>
      <w:pPr>
        <w:pStyle w:val="Heading2"/>
      </w:pPr>
      <w:r>
        <w:t>How to approach this lesson (H2, optional — INCLUDE)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Short paragraph: prerequisites — the reader should be comfortable with candle anatomy (OHLC) before going deeper. If not, point back to 2.1.2.</w:t>
      </w:r>
    </w:p>
    <w:p>
      <w:pPr>
        <w:pStyle w:val="ListBullet"/>
      </w:pPr>
      <w:r>
        <w:t>Short paragraph: suggested reading order — the chapter (2.3.1.) first for the category framing, then the individual pattern pages as reference material when they appear on a chart.</w:t>
      </w:r>
    </w:p>
    <w:p>
      <w:pPr>
        <w:pStyle w:val="ListBullet"/>
      </w:pPr>
      <w:r>
        <w:t>Closing CTA sentence: link to "Candlestick Patterns: the full chapter" (2.3.1.).</w:t>
      </w:r>
    </w:p>
    <w:p>
      <w:r>
        <w:t>Internal link: `/lesson/candlestick-anatomy-ohlc/` and the chapter link `/lesson/candlestick-patterns-formations/` (2.3.1.).</w:t>
      </w:r>
    </w:p>
    <w:p>
      <w:pPr>
        <w:pStyle w:val="Heading2"/>
      </w:pPr>
      <w:r>
        <w:t>Internal Links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Link Text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Target Lesson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Slug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Placement</w:t>
            </w:r>
          </w:p>
        </w:tc>
      </w:tr>
      <w:tr>
        <w:tc>
          <w:tcPr>
            <w:tcW w:type="dxa" w:w="1728"/>
          </w:tcPr>
          <w:p>
            <w:pPr/>
            <w:r>
              <w:t>1</w:t>
            </w:r>
          </w:p>
        </w:tc>
        <w:tc>
          <w:tcPr>
            <w:tcW w:type="dxa" w:w="1728"/>
          </w:tcPr>
          <w:p>
            <w:pPr/>
            <w:r>
              <w:t>chart types</w:t>
            </w:r>
          </w:p>
        </w:tc>
        <w:tc>
          <w:tcPr>
            <w:tcW w:type="dxa" w:w="1728"/>
          </w:tcPr>
          <w:p>
            <w:pPr/>
            <w:r>
              <w:t>2.1.1. Types of Trading Charts</w:t>
            </w:r>
          </w:p>
        </w:tc>
        <w:tc>
          <w:tcPr>
            <w:tcW w:type="dxa" w:w="1728"/>
          </w:tcPr>
          <w:p>
            <w:pPr/>
            <w:r>
              <w:t>types-of-trading-charts</w:t>
            </w:r>
          </w:p>
        </w:tc>
        <w:tc>
          <w:tcPr>
            <w:tcW w:type="dxa" w:w="1728"/>
          </w:tcPr>
          <w:p>
            <w:pPr/>
            <w:r>
              <w:t>Intro</w:t>
            </w:r>
          </w:p>
        </w:tc>
      </w:tr>
      <w:tr>
        <w:tc>
          <w:tcPr>
            <w:tcW w:type="dxa" w:w="1728"/>
          </w:tcPr>
          <w:p>
            <w:pPr/>
            <w:r>
              <w:t>2</w:t>
            </w:r>
          </w:p>
        </w:tc>
        <w:tc>
          <w:tcPr>
            <w:tcW w:type="dxa" w:w="1728"/>
          </w:tcPr>
          <w:p>
            <w:pPr/>
            <w:r>
              <w:t>candle anatomy</w:t>
            </w:r>
          </w:p>
        </w:tc>
        <w:tc>
          <w:tcPr>
            <w:tcW w:type="dxa" w:w="1728"/>
          </w:tcPr>
          <w:p>
            <w:pPr/>
            <w:r>
              <w:t>2.1.2. Candlestick Anatomy (OHLC)</w:t>
            </w:r>
          </w:p>
        </w:tc>
        <w:tc>
          <w:tcPr>
            <w:tcW w:type="dxa" w:w="1728"/>
          </w:tcPr>
          <w:p>
            <w:pPr/>
            <w:r>
              <w:t>candlestick-anatomy-ohlc</w:t>
            </w:r>
          </w:p>
        </w:tc>
        <w:tc>
          <w:tcPr>
            <w:tcW w:type="dxa" w:w="1728"/>
          </w:tcPr>
          <w:p>
            <w:pPr/>
            <w:r>
              <w:t>Intro + How to approach</w:t>
            </w:r>
          </w:p>
        </w:tc>
      </w:tr>
      <w:tr>
        <w:tc>
          <w:tcPr>
            <w:tcW w:type="dxa" w:w="1728"/>
          </w:tcPr>
          <w:p>
            <w:pPr/>
            <w:r>
              <w:t>3</w:t>
            </w:r>
          </w:p>
        </w:tc>
        <w:tc>
          <w:tcPr>
            <w:tcW w:type="dxa" w:w="1728"/>
          </w:tcPr>
          <w:p>
            <w:pPr/>
            <w:r>
              <w:t>trend and market environment</w:t>
            </w:r>
          </w:p>
        </w:tc>
        <w:tc>
          <w:tcPr>
            <w:tcW w:type="dxa" w:w="1728"/>
          </w:tcPr>
          <w:p>
            <w:pPr/>
            <w:r>
              <w:t>2.2.3. Market Environment: Ranges vs Trends</w:t>
            </w:r>
          </w:p>
        </w:tc>
        <w:tc>
          <w:tcPr>
            <w:tcW w:type="dxa" w:w="1728"/>
          </w:tcPr>
          <w:p>
            <w:pPr/>
            <w:r>
              <w:t>market-environment-ranges-vs-trends</w:t>
            </w:r>
          </w:p>
        </w:tc>
        <w:tc>
          <w:tcPr>
            <w:tcW w:type="dxa" w:w="1728"/>
          </w:tcPr>
          <w:p>
            <w:pPr/>
            <w:r>
              <w:t>Why they matter</w:t>
            </w:r>
          </w:p>
        </w:tc>
      </w:tr>
      <w:tr>
        <w:tc>
          <w:tcPr>
            <w:tcW w:type="dxa" w:w="1728"/>
          </w:tcPr>
          <w:p>
            <w:pPr/>
            <w:r>
              <w:t>4</w:t>
            </w:r>
          </w:p>
        </w:tc>
        <w:tc>
          <w:tcPr>
            <w:tcW w:type="dxa" w:w="1728"/>
          </w:tcPr>
          <w:p>
            <w:pPr/>
            <w:r>
              <w:t>the full chapter</w:t>
            </w:r>
          </w:p>
        </w:tc>
        <w:tc>
          <w:tcPr>
            <w:tcW w:type="dxa" w:w="1728"/>
          </w:tcPr>
          <w:p>
            <w:pPr/>
            <w:r>
              <w:t>2.3.1. Candlestick Patterns / Formations</w:t>
            </w:r>
          </w:p>
        </w:tc>
        <w:tc>
          <w:tcPr>
            <w:tcW w:type="dxa" w:w="1728"/>
          </w:tcPr>
          <w:p>
            <w:pPr/>
            <w:r>
              <w:t>candlestick-patterns-formations</w:t>
            </w:r>
          </w:p>
        </w:tc>
        <w:tc>
          <w:tcPr>
            <w:tcW w:type="dxa" w:w="1728"/>
          </w:tcPr>
          <w:p>
            <w:pPr/>
            <w:r>
              <w:t>What you will learn + closing CTA</w:t>
            </w:r>
          </w:p>
        </w:tc>
      </w:tr>
      <w:tr>
        <w:tc>
          <w:tcPr>
            <w:tcW w:type="dxa" w:w="1728"/>
          </w:tcPr>
          <w:p>
            <w:pPr/>
            <w:r>
              <w:t>5</w:t>
            </w:r>
          </w:p>
        </w:tc>
        <w:tc>
          <w:tcPr>
            <w:tcW w:type="dxa" w:w="1728"/>
          </w:tcPr>
          <w:p>
            <w:pPr/>
            <w:r>
              <w:t>Hammer / Shooting Star / Doji / Engulfing / Morning Star / Evening Star / Harami / Tweezer / Marubozu / Three White Soldiers / Inside Bar / Spinning Top</w:t>
            </w:r>
          </w:p>
        </w:tc>
        <w:tc>
          <w:tcPr>
            <w:tcW w:type="dxa" w:w="1728"/>
          </w:tcPr>
          <w:p>
            <w:pPr/>
            <w:r>
              <w:t>2.3.1.x pattern subpages</w:t>
            </w:r>
          </w:p>
        </w:tc>
        <w:tc>
          <w:tcPr>
            <w:tcW w:type="dxa" w:w="1728"/>
          </w:tcPr>
          <w:p>
            <w:pPr/>
            <w:r>
              <w:t>(various)</w:t>
            </w:r>
          </w:p>
        </w:tc>
        <w:tc>
          <w:tcPr>
            <w:tcW w:type="dxa" w:w="1728"/>
          </w:tcPr>
          <w:p>
            <w:pPr/>
            <w:r>
              <w:t>Bullet list items</w:t>
            </w:r>
          </w:p>
        </w:tc>
      </w:tr>
    </w:tbl>
    <w:p/>
    <w:p>
      <w:r>
        <w:t>Minimum 4 structural internal links met; individual pattern links are listed as a group (each bullet item link counts separately once published).</w:t>
      </w:r>
    </w:p>
    <w:p>
      <w:pPr>
        <w:pStyle w:val="Heading2"/>
      </w:pPr>
      <w:r>
        <w:t>Content Validation</w:t>
      </w:r>
    </w:p>
    <w:p>
      <w:pPr>
        <w:pStyle w:val="ListBullet"/>
      </w:pPr>
      <w:r>
        <w:rPr>
          <w:b/>
        </w:rPr>
        <w:t>Structure:</w:t>
      </w:r>
      <w:r>
        <w:t xml:space="preserve"> the Lekce skeleton is respected (intro → What you will learn → Why it matters → How to approach → CTA). Order is didactically correct.</w:t>
      </w:r>
    </w:p>
    <w:p>
      <w:pPr>
        <w:pStyle w:val="ListBullet"/>
      </w:pPr>
      <w:r>
        <w:rPr>
          <w:b/>
        </w:rPr>
        <w:t>Category choice:</w:t>
      </w:r>
      <w:r>
        <w:t xml:space="preserve"> reversal / continuation / indecision is the dominant framework in the course's reference sources and keeps alignment with the underlying chapter 2.3.1. Bullish/bearish is treated as a dimension within each category, which avoids conflicting categorisations.</w:t>
      </w:r>
    </w:p>
    <w:p>
      <w:pPr>
        <w:pStyle w:val="ListBullet"/>
      </w:pPr>
      <w:r>
        <w:rPr>
          <w:b/>
        </w:rPr>
        <w:t>Scope:</w:t>
      </w:r>
      <w:r>
        <w:t xml:space="preserve"> no individual pattern is explained here. All 13 sheet-listed subtopics are named and routed, but depth is deferred to 2.3.1.x. This is the correct Lekce boundary.</w:t>
      </w:r>
    </w:p>
    <w:p>
      <w:pPr>
        <w:pStyle w:val="ListBullet"/>
      </w:pPr>
      <w:r>
        <w:rPr>
          <w:b/>
        </w:rPr>
        <w:t>Risk framing:</w:t>
      </w:r>
      <w:r>
        <w:t xml:space="preserve"> one "Keep in Mind" callout on reliability is present. No Warning callout is needed because the Lekce does not instruct any action.</w:t>
      </w:r>
    </w:p>
    <w:p>
      <w:pPr>
        <w:pStyle w:val="ListBullet"/>
      </w:pPr>
      <w:r>
        <w:rPr>
          <w:b/>
        </w:rPr>
        <w:t>Single-chapter structural note:</w:t>
      </w:r>
      <w:r>
        <w:t xml:space="preserve"> Lokace 2.3. contains only one Kapitola (2.3.1.). The outline compensates by using pattern *categories* (not chapters) as the "What you will learn" items. This is consistent with the sheet structure and gives the reader a meaningful roadmap.</w:t>
      </w:r>
    </w:p>
    <w:p>
      <w:pPr>
        <w:pStyle w:val="ListBullet"/>
      </w:pPr>
      <w:r>
        <w:rPr>
          <w:b/>
        </w:rPr>
        <w:t>Word count target:</w:t>
      </w:r>
      <w:r>
        <w:t xml:space="preserve"> the outline, as written, produces ~550–650 words at typical Academy pacing. Safely inside the 400–700 Lekce band.</w:t>
      </w:r>
    </w:p>
    <w:p>
      <w:r/>
      <w:r>
        <w:rPr>
          <w:b/>
        </w:rPr>
        <w:t>Validation: PASS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A8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A8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A8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3A8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