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Brief &amp; Outline: Forex Trading Hours and Sessions</w:t>
      </w:r>
    </w:p>
    <w:p>
      <w:pPr>
        <w:pStyle w:val="Heading2"/>
      </w:pPr>
      <w:r>
        <w:t>Brief</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23A83"/>
          </w:tcPr>
          <w:p>
            <w:pPr/>
            <w:r>
              <w:rPr>
                <w:b/>
                <w:color w:val="FFFFFF"/>
              </w:rPr>
              <w:t>Item</w:t>
            </w:r>
          </w:p>
        </w:tc>
        <w:tc>
          <w:tcPr>
            <w:tcW w:type="dxa" w:w="4320"/>
            <w:shd w:val="clear" w:color="auto" w:fill="123A83"/>
          </w:tcPr>
          <w:p>
            <w:pPr/>
            <w:r>
              <w:rPr>
                <w:b/>
                <w:color w:val="FFFFFF"/>
              </w:rPr>
              <w:t>Value</w:t>
            </w:r>
          </w:p>
        </w:tc>
      </w:tr>
      <w:tr>
        <w:tc>
          <w:tcPr>
            <w:tcW w:type="dxa" w:w="4320"/>
          </w:tcPr>
          <w:p>
            <w:pPr/>
            <w:r>
              <w:t>Topic</w:t>
            </w:r>
          </w:p>
        </w:tc>
        <w:tc>
          <w:tcPr>
            <w:tcW w:type="dxa" w:w="4320"/>
          </w:tcPr>
          <w:p>
            <w:pPr/>
            <w:r>
              <w:t>Forex Trading Hours and Sessions</w:t>
            </w:r>
          </w:p>
        </w:tc>
      </w:tr>
      <w:tr>
        <w:tc>
          <w:tcPr>
            <w:tcW w:type="dxa" w:w="4320"/>
          </w:tcPr>
          <w:p>
            <w:pPr/>
            <w:r>
              <w:t>Czech Title</w:t>
            </w:r>
          </w:p>
        </w:tc>
        <w:tc>
          <w:tcPr>
            <w:tcW w:type="dxa" w:w="4320"/>
          </w:tcPr>
          <w:p>
            <w:pPr/>
            <w:r>
              <w:t>Forex trading hours and sessions</w:t>
            </w:r>
          </w:p>
        </w:tc>
      </w:tr>
      <w:tr>
        <w:tc>
          <w:tcPr>
            <w:tcW w:type="dxa" w:w="4320"/>
          </w:tcPr>
          <w:p>
            <w:pPr/>
            <w:r>
              <w:t>Slug</w:t>
            </w:r>
          </w:p>
        </w:tc>
        <w:tc>
          <w:tcPr>
            <w:tcW w:type="dxa" w:w="4320"/>
          </w:tcPr>
          <w:p>
            <w:pPr/>
            <w:r>
              <w:t>forex-trading-hours-and-sessions</w:t>
            </w:r>
          </w:p>
        </w:tc>
      </w:tr>
      <w:tr>
        <w:tc>
          <w:tcPr>
            <w:tcW w:type="dxa" w:w="4320"/>
          </w:tcPr>
          <w:p>
            <w:pPr/>
            <w:r>
              <w:t>Lokace</w:t>
            </w:r>
          </w:p>
        </w:tc>
        <w:tc>
          <w:tcPr>
            <w:tcW w:type="dxa" w:w="4320"/>
          </w:tcPr>
          <w:p>
            <w:pPr/>
            <w:r>
              <w:t>2.1.4.</w:t>
            </w:r>
          </w:p>
        </w:tc>
      </w:tr>
      <w:tr>
        <w:tc>
          <w:tcPr>
            <w:tcW w:type="dxa" w:w="4320"/>
          </w:tcPr>
          <w:p>
            <w:pPr/>
            <w:r>
              <w:t>Part</w:t>
            </w:r>
          </w:p>
        </w:tc>
        <w:tc>
          <w:tcPr>
            <w:tcW w:type="dxa" w:w="4320"/>
          </w:tcPr>
          <w:p>
            <w:pPr/>
            <w:r>
              <w:t>Part 2 — Trading Analysis</w:t>
            </w:r>
          </w:p>
        </w:tc>
      </w:tr>
      <w:tr>
        <w:tc>
          <w:tcPr>
            <w:tcW w:type="dxa" w:w="4320"/>
          </w:tcPr>
          <w:p>
            <w:pPr/>
            <w:r>
              <w:t>Module</w:t>
            </w:r>
          </w:p>
        </w:tc>
        <w:tc>
          <w:tcPr>
            <w:tcW w:type="dxa" w:w="4320"/>
          </w:tcPr>
          <w:p>
            <w:pPr/>
            <w:r>
              <w:t>2.1. Charts and Timeframes</w:t>
            </w:r>
          </w:p>
        </w:tc>
      </w:tr>
      <w:tr>
        <w:tc>
          <w:tcPr>
            <w:tcW w:type="dxa" w:w="4320"/>
          </w:tcPr>
          <w:p>
            <w:pPr/>
            <w:r>
              <w:t>Position</w:t>
            </w:r>
          </w:p>
        </w:tc>
        <w:tc>
          <w:tcPr>
            <w:tcW w:type="dxa" w:w="4320"/>
          </w:tcPr>
          <w:p>
            <w:pPr/>
            <w:r>
              <w:t>Kapitola 4 of 4</w:t>
            </w:r>
          </w:p>
        </w:tc>
      </w:tr>
      <w:tr>
        <w:tc>
          <w:tcPr>
            <w:tcW w:type="dxa" w:w="4320"/>
          </w:tcPr>
          <w:p>
            <w:pPr/>
            <w:r>
              <w:t>Classification</w:t>
            </w:r>
          </w:p>
        </w:tc>
        <w:tc>
          <w:tcPr>
            <w:tcW w:type="dxa" w:w="4320"/>
          </w:tcPr>
          <w:p>
            <w:pPr/>
            <w:r>
              <w:t>BEGINNER — foundational market mechanics, no prior TA knowledge required</w:t>
            </w:r>
          </w:p>
        </w:tc>
      </w:tr>
      <w:tr>
        <w:tc>
          <w:tcPr>
            <w:tcW w:type="dxa" w:w="4320"/>
          </w:tcPr>
          <w:p>
            <w:pPr/>
            <w:r>
              <w:t>Word Count</w:t>
            </w:r>
          </w:p>
        </w:tc>
        <w:tc>
          <w:tcPr>
            <w:tcW w:type="dxa" w:w="4320"/>
          </w:tcPr>
          <w:p>
            <w:pPr/>
            <w:r>
              <w:t>2,800–3,200 words — based on competitor avg ~2,100 + added depth on volume data, spread behaviour, and style matching</w:t>
            </w:r>
          </w:p>
        </w:tc>
      </w:tr>
    </w:tbl>
    <w:p/>
    <w:p>
      <w:pPr>
        <w:pStyle w:val="Heading2"/>
      </w:pPr>
      <w:r>
        <w:t>Differentiation</w:t>
      </w:r>
    </w:p>
    <w:p>
      <w:pPr>
        <w:pStyle w:val="ListBullet"/>
      </w:pPr>
      <w:r>
        <w:rPr>
          <w:b/>
        </w:rPr>
        <w:t>Volume and spread data by session.</w:t>
      </w:r>
      <w:r>
        <w:t xml:space="preserve"> Competitors describe sessions qualitatively ("high liquidity"). This lesson includes actual volume distribution percentages (London-NY overlap = 37% of daily volume in 19% of trading hours) and explains how spreads widen during low-liquidity windows.</w:t>
      </w:r>
    </w:p>
    <w:p>
      <w:pPr>
        <w:pStyle w:val="ListBullet"/>
      </w:pPr>
      <w:r>
        <w:rPr>
          <w:b/>
        </w:rPr>
        <w:t>Session-to-style matching framework.</w:t>
      </w:r>
      <w:r>
        <w:t xml:space="preserve"> Competitors mention trading styles in passing. This lesson maps each session's characteristics (volatility, liquidity, pair activity) to specific trading styles (scalping, day trading, swing trading) with concrete reasoning.</w:t>
      </w:r>
    </w:p>
    <w:p>
      <w:pPr>
        <w:pStyle w:val="ListBullet"/>
      </w:pPr>
      <w:r>
        <w:rPr>
          <w:b/>
        </w:rPr>
        <w:t>Economic calendar connection.</w:t>
      </w:r>
      <w:r>
        <w:t xml:space="preserve"> Most competitors ignore the link between session timing and high-impact news releases. This lesson maps typical release windows (NFP, ECB, BOJ) to their respective sessions.</w:t>
      </w:r>
    </w:p>
    <w:p>
      <w:pPr>
        <w:pStyle w:val="ListBullet"/>
      </w:pPr>
      <w:r>
        <w:rPr>
          <w:b/>
        </w:rPr>
        <w:t>Weekend gap and Monday open dynamics.</w:t>
      </w:r>
      <w:r>
        <w:t xml:space="preserve"> Only one competitor mentions price gaps. This lesson covers Sunday open behaviour, gap risk, and why the first hours of the Sydney session behave differently.</w:t>
      </w:r>
    </w:p>
    <w:p>
      <w:pPr>
        <w:pStyle w:val="ListBullet"/>
      </w:pPr>
      <w:r>
        <w:rPr>
          <w:b/>
        </w:rPr>
        <w:t>Deliberately excluded:</w:t>
      </w:r>
      <w:r>
        <w:t xml:space="preserve"> Broker-specific platform hours, algorithmic/automated trading scheduling, emerging market sessions (out of scope for beginner-level).</w:t>
      </w:r>
    </w:p>
    <w:p>
      <w:pPr>
        <w:pStyle w:val="Heading2"/>
      </w:pPr>
      <w:r>
        <w:t>Keywords — Headings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23A83"/>
          </w:tcPr>
          <w:p>
            <w:pPr/>
            <w:r>
              <w:rPr>
                <w:b/>
                <w:color w:val="FFFFFF"/>
              </w:rPr>
              <w:t>#</w:t>
            </w:r>
          </w:p>
        </w:tc>
        <w:tc>
          <w:tcPr>
            <w:tcW w:type="dxa" w:w="2160"/>
            <w:shd w:val="clear" w:color="auto" w:fill="123A83"/>
          </w:tcPr>
          <w:p>
            <w:pPr/>
            <w:r>
              <w:rPr>
                <w:b/>
                <w:color w:val="FFFFFF"/>
              </w:rPr>
              <w:t>Keyword</w:t>
            </w:r>
          </w:p>
        </w:tc>
        <w:tc>
          <w:tcPr>
            <w:tcW w:type="dxa" w:w="2160"/>
            <w:shd w:val="clear" w:color="auto" w:fill="123A83"/>
          </w:tcPr>
          <w:p>
            <w:pPr/>
            <w:r>
              <w:rPr>
                <w:b/>
                <w:color w:val="FFFFFF"/>
              </w:rPr>
              <w:t>Volume (US)</w:t>
            </w:r>
          </w:p>
        </w:tc>
        <w:tc>
          <w:tcPr>
            <w:tcW w:type="dxa" w:w="2160"/>
            <w:shd w:val="clear" w:color="auto" w:fill="123A83"/>
          </w:tcPr>
          <w:p>
            <w:pPr/>
            <w:r>
              <w:rPr>
                <w:b/>
                <w:color w:val="FFFFFF"/>
              </w:rPr>
              <w:t>Heading</w:t>
            </w:r>
          </w:p>
        </w:tc>
      </w:tr>
      <w:tr>
        <w:tc>
          <w:tcPr>
            <w:tcW w:type="dxa" w:w="2160"/>
          </w:tcPr>
          <w:p>
            <w:pPr/>
            <w:r>
              <w:t>1</w:t>
            </w:r>
          </w:p>
        </w:tc>
        <w:tc>
          <w:tcPr>
            <w:tcW w:type="dxa" w:w="2160"/>
          </w:tcPr>
          <w:p>
            <w:pPr/>
            <w:r>
              <w:t>forex market hours</w:t>
            </w:r>
          </w:p>
        </w:tc>
        <w:tc>
          <w:tcPr>
            <w:tcW w:type="dxa" w:w="2160"/>
          </w:tcPr>
          <w:p>
            <w:pPr/>
            <w:r>
              <w:t>2,500</w:t>
            </w:r>
          </w:p>
        </w:tc>
        <w:tc>
          <w:tcPr>
            <w:tcW w:type="dxa" w:w="2160"/>
          </w:tcPr>
          <w:p>
            <w:pPr/>
            <w:r>
              <w:t>H1 (in title)</w:t>
            </w:r>
          </w:p>
        </w:tc>
      </w:tr>
      <w:tr>
        <w:tc>
          <w:tcPr>
            <w:tcW w:type="dxa" w:w="2160"/>
          </w:tcPr>
          <w:p>
            <w:pPr/>
            <w:r>
              <w:t>2</w:t>
            </w:r>
          </w:p>
        </w:tc>
        <w:tc>
          <w:tcPr>
            <w:tcW w:type="dxa" w:w="2160"/>
          </w:tcPr>
          <w:p>
            <w:pPr/>
            <w:r>
              <w:t>forex trading sessions</w:t>
            </w:r>
          </w:p>
        </w:tc>
        <w:tc>
          <w:tcPr>
            <w:tcW w:type="dxa" w:w="2160"/>
          </w:tcPr>
          <w:p>
            <w:pPr/>
            <w:r>
              <w:t>500</w:t>
            </w:r>
          </w:p>
        </w:tc>
        <w:tc>
          <w:tcPr>
            <w:tcW w:type="dxa" w:w="2160"/>
          </w:tcPr>
          <w:p>
            <w:pPr/>
            <w:r>
              <w:t>H2: The Four Trading Sessions</w:t>
            </w:r>
          </w:p>
        </w:tc>
      </w:tr>
      <w:tr>
        <w:tc>
          <w:tcPr>
            <w:tcW w:type="dxa" w:w="2160"/>
          </w:tcPr>
          <w:p>
            <w:pPr/>
            <w:r>
              <w:t>3</w:t>
            </w:r>
          </w:p>
        </w:tc>
        <w:tc>
          <w:tcPr>
            <w:tcW w:type="dxa" w:w="2160"/>
          </w:tcPr>
          <w:p>
            <w:pPr/>
            <w:r>
              <w:t>best time to trade forex</w:t>
            </w:r>
          </w:p>
        </w:tc>
        <w:tc>
          <w:tcPr>
            <w:tcW w:type="dxa" w:w="2160"/>
          </w:tcPr>
          <w:p>
            <w:pPr/>
            <w:r>
              <w:t>2,300</w:t>
            </w:r>
          </w:p>
        </w:tc>
        <w:tc>
          <w:tcPr>
            <w:tcW w:type="dxa" w:w="2160"/>
          </w:tcPr>
          <w:p>
            <w:pPr/>
            <w:r>
              <w:t>H2: Best Time to Trade Forex</w:t>
            </w:r>
          </w:p>
        </w:tc>
      </w:tr>
      <w:tr>
        <w:tc>
          <w:tcPr>
            <w:tcW w:type="dxa" w:w="2160"/>
          </w:tcPr>
          <w:p>
            <w:pPr/>
            <w:r>
              <w:t>4</w:t>
            </w:r>
          </w:p>
        </w:tc>
        <w:tc>
          <w:tcPr>
            <w:tcW w:type="dxa" w:w="2160"/>
          </w:tcPr>
          <w:p>
            <w:pPr/>
            <w:r>
              <w:t>forex trading hours</w:t>
            </w:r>
          </w:p>
        </w:tc>
        <w:tc>
          <w:tcPr>
            <w:tcW w:type="dxa" w:w="2160"/>
          </w:tcPr>
          <w:p>
            <w:pPr/>
            <w:r>
              <w:t>1,100</w:t>
            </w:r>
          </w:p>
        </w:tc>
        <w:tc>
          <w:tcPr>
            <w:tcW w:type="dxa" w:w="2160"/>
          </w:tcPr>
          <w:p>
            <w:pPr/>
            <w:r>
              <w:t>H1 (in title)</w:t>
            </w:r>
          </w:p>
        </w:tc>
      </w:tr>
      <w:tr>
        <w:tc>
          <w:tcPr>
            <w:tcW w:type="dxa" w:w="2160"/>
          </w:tcPr>
          <w:p>
            <w:pPr/>
            <w:r>
              <w:t>5</w:t>
            </w:r>
          </w:p>
        </w:tc>
        <w:tc>
          <w:tcPr>
            <w:tcW w:type="dxa" w:w="2160"/>
          </w:tcPr>
          <w:p>
            <w:pPr/>
            <w:r>
              <w:t>forex session times</w:t>
            </w:r>
          </w:p>
        </w:tc>
        <w:tc>
          <w:tcPr>
            <w:tcW w:type="dxa" w:w="2160"/>
          </w:tcPr>
          <w:p>
            <w:pPr/>
            <w:r>
              <w:t>800</w:t>
            </w:r>
          </w:p>
        </w:tc>
        <w:tc>
          <w:tcPr>
            <w:tcW w:type="dxa" w:w="2160"/>
          </w:tcPr>
          <w:p>
            <w:pPr/>
            <w:r>
              <w:t>H2: Session Times table</w:t>
            </w:r>
          </w:p>
        </w:tc>
      </w:tr>
      <w:tr>
        <w:tc>
          <w:tcPr>
            <w:tcW w:type="dxa" w:w="2160"/>
          </w:tcPr>
          <w:p>
            <w:pPr/>
            <w:r>
              <w:t>—</w:t>
            </w:r>
          </w:p>
        </w:tc>
        <w:tc>
          <w:tcPr>
            <w:tcW w:type="dxa" w:w="2160"/>
          </w:tcPr>
          <w:p>
            <w:pPr/>
            <w:r>
              <w:t>Remaining 25 keywords</w:t>
            </w:r>
          </w:p>
        </w:tc>
        <w:tc>
          <w:tcPr>
            <w:tcW w:type="dxa" w:w="2160"/>
          </w:tcPr>
          <w:p>
            <w:pPr/>
            <w:r>
              <w:t>—</w:t>
            </w:r>
          </w:p>
        </w:tc>
        <w:tc>
          <w:tcPr>
            <w:tcW w:type="dxa" w:w="2160"/>
          </w:tcPr>
          <w:p>
            <w:pPr/>
            <w:r>
              <w:t>Step 3 (body integration)</w:t>
            </w:r>
          </w:p>
        </w:tc>
      </w:tr>
    </w:tbl>
    <w:p/>
    <w:p>
      <w:pPr>
        <w:pStyle w:val="Heading2"/>
      </w:pPr>
      <w:r>
        <w:t>Outline</w:t>
      </w:r>
    </w:p>
    <w:p>
      <w:pPr>
        <w:pStyle w:val="Heading1"/>
      </w:pPr>
      <w:r>
        <w:t>Forex Trading Hours and Sessions: When the Market Moves</w:t>
      </w:r>
    </w:p>
    <w:p>
      <w:r>
        <w:rPr>
          <w:b/>
          <w:color w:val="0781FE"/>
        </w:rPr>
        <w:t xml:space="preserve">Key point: </w:t>
      </w:r>
      <w:r>
        <w:t>The forex market is open 24/5, but conditions change dramatically depending on which financial centres are active. Knowing when to trade is as important as knowing what to trade.</w:t>
      </w:r>
    </w:p>
    <w:p>
      <w:r>
        <w:t>AIO-friendly opening: Forex trading hours span from Sunday 22:00 UTC to Friday 22:00 UTC, with four major sessions (Sydney, Tokyo, London, New York) creating distinct windows of liquidity and volatility throughout each trading day.</w:t>
      </w:r>
    </w:p>
    <w:p>
      <w:pPr>
        <w:pStyle w:val="Heading2"/>
      </w:pPr>
      <w:r>
        <w:t>Why Forex Trading Hours Matter</w:t>
      </w:r>
    </w:p>
    <w:p>
      <w:r>
        <w:rPr>
          <w:b/>
          <w:color w:val="0781FE"/>
        </w:rPr>
        <w:t xml:space="preserve">Key points: </w:t>
      </w:r>
      <w:r/>
    </w:p>
    <w:p>
      <w:pPr>
        <w:pStyle w:val="ListBullet"/>
      </w:pPr>
      <w:r>
        <w:t>24-hour market does not mean 24-hour opportunity</w:t>
      </w:r>
    </w:p>
    <w:p>
      <w:pPr>
        <w:pStyle w:val="ListBullet"/>
      </w:pPr>
      <w:r>
        <w:t>Liquidity, volatility, and spreads all shift depending on the active session</w:t>
      </w:r>
    </w:p>
    <w:p>
      <w:pPr>
        <w:pStyle w:val="ListBullet"/>
      </w:pPr>
      <w:r>
        <w:t>The session you trade in affects which pairs move, how much they move, and what it costs to trade</w:t>
      </w:r>
    </w:p>
    <w:p>
      <w:pPr>
        <w:pStyle w:val="ListBullet"/>
      </w:pPr>
      <w:r>
        <w:t>Connection to the reader's timezone and lifestyle</w:t>
      </w:r>
    </w:p>
    <w:p>
      <w:pPr>
        <w:spacing w:before="120" w:after="120"/>
        <w:ind w:left="432"/>
      </w:pPr>
      <w:r>
        <w:rPr>
          <w:b/>
          <w:color w:val="0781FE"/>
        </w:rPr>
        <w:t xml:space="preserve">Note: </w:t>
      </w:r>
      <w:r>
        <w:rPr>
          <w:color w:val="1A1A2E"/>
        </w:rPr>
        <w:t>"The forex market never sleeps, but that does not mean every hour is worth trading. The difference between a high-liquidity overlap and a quiet inter-session window can mean the difference between a 0.8-pip spread and a 3-pip spread on EUR/USD."</w:t>
      </w:r>
    </w:p>
    <w:p>
      <w:pPr>
        <w:pStyle w:val="Heading2"/>
      </w:pPr>
      <w:r>
        <w:t>The Four Trading Sessions</w:t>
      </w:r>
    </w:p>
    <w:p>
      <w:pPr>
        <w:spacing w:before="40"/>
      </w:pPr>
      <w:r>
        <w:rPr>
          <w:b/>
          <w:color w:val="555555"/>
          <w:sz w:val="20"/>
        </w:rPr>
        <w:t xml:space="preserve">Target keyword: </w:t>
      </w:r>
      <w:r>
        <w:rPr>
          <w:i/>
          <w:color w:val="555555"/>
          <w:sz w:val="20"/>
        </w:rPr>
        <w:t>forex trading sessions</w:t>
      </w:r>
    </w:p>
    <w:p>
      <w:r>
        <w:rPr>
          <w:b/>
          <w:color w:val="0781FE"/>
        </w:rPr>
        <w:t xml:space="preserve">Key points: </w:t>
      </w:r>
      <w:r/>
    </w:p>
    <w:p>
      <w:pPr>
        <w:pStyle w:val="ListBullet"/>
      </w:pPr>
      <w:r>
        <w:t>Four sessions defined: Sydney, Tokyo, London, New York</w:t>
      </w:r>
    </w:p>
    <w:p>
      <w:pPr>
        <w:pStyle w:val="ListBullet"/>
      </w:pPr>
      <w:r>
        <w:t>Each named after the dominant financial centre, but includes surrounding markets</w:t>
      </w:r>
    </w:p>
    <w:p>
      <w:pPr>
        <w:pStyle w:val="ListBullet"/>
      </w:pPr>
      <w:r>
        <w:t>Introduce the concept: sessions follow the sun westward</w:t>
      </w:r>
    </w:p>
    <w:p>
      <w:pPr>
        <w:pStyle w:val="Heading3"/>
      </w:pPr>
      <w:r>
        <w:t>Sydney Session</w:t>
      </w:r>
    </w:p>
    <w:p>
      <w:pPr>
        <w:pStyle w:val="ListBullet"/>
      </w:pPr>
      <w:r>
        <w:t>Hours: 22:00–07:00 UTC</w:t>
      </w:r>
    </w:p>
    <w:p>
      <w:pPr>
        <w:pStyle w:val="ListBullet"/>
      </w:pPr>
      <w:r>
        <w:t>First to open after the weekend</w:t>
      </w:r>
    </w:p>
    <w:p>
      <w:pPr>
        <w:pStyle w:val="ListBullet"/>
      </w:pPr>
      <w:r>
        <w:t>Sets the tone for the week</w:t>
      </w:r>
    </w:p>
    <w:p>
      <w:pPr>
        <w:pStyle w:val="ListBullet"/>
      </w:pPr>
      <w:r>
        <w:t>Lower liquidity and volatility</w:t>
      </w:r>
    </w:p>
    <w:p>
      <w:pPr>
        <w:pStyle w:val="ListBullet"/>
      </w:pPr>
      <w:r>
        <w:t>Key pairs: AUD/USD, NZD/USD, AUD/JPY</w:t>
      </w:r>
    </w:p>
    <w:p>
      <w:pPr>
        <w:pStyle w:val="ListBullet"/>
      </w:pPr>
      <w:r>
        <w:t>Average pip ranges (from competitor data): 30–50 pips on AUD pairs</w:t>
      </w:r>
    </w:p>
    <w:p>
      <w:pPr>
        <w:pStyle w:val="ListBullet"/>
      </w:pPr>
      <w:r>
        <w:t>Sunday open: potential for price gaps after weekend news</w:t>
      </w:r>
    </w:p>
    <w:p>
      <w:pPr>
        <w:pStyle w:val="Heading3"/>
      </w:pPr>
      <w:r>
        <w:t>Tokyo Session</w:t>
      </w:r>
    </w:p>
    <w:p>
      <w:pPr>
        <w:pStyle w:val="ListBullet"/>
      </w:pPr>
      <w:r>
        <w:t>Hours: 00:00–09:00 UTC</w:t>
      </w:r>
    </w:p>
    <w:p>
      <w:pPr>
        <w:pStyle w:val="ListBullet"/>
      </w:pPr>
      <w:r>
        <w:t>Overlaps with Sydney for first 7 hours</w:t>
      </w:r>
    </w:p>
    <w:p>
      <w:pPr>
        <w:pStyle w:val="ListBullet"/>
      </w:pPr>
      <w:r>
        <w:t>Japan, China, Singapore, Hong Kong, Australia all active</w:t>
      </w:r>
    </w:p>
    <w:p>
      <w:pPr>
        <w:pStyle w:val="ListBullet"/>
      </w:pPr>
      <w:r>
        <w:t>Key pairs: USD/JPY, EUR/JPY, AUD/JPY</w:t>
      </w:r>
    </w:p>
    <w:p>
      <w:pPr>
        <w:pStyle w:val="ListBullet"/>
      </w:pPr>
      <w:r>
        <w:t>Characteristics: steady, range-bound moves; lower volatility than London/NY</w:t>
      </w:r>
    </w:p>
    <w:p>
      <w:pPr>
        <w:pStyle w:val="ListBullet"/>
      </w:pPr>
      <w:r>
        <w:t>~33% of USD/JPY daily volume occurs here (OANDA data)</w:t>
      </w:r>
    </w:p>
    <w:p>
      <w:pPr>
        <w:pStyle w:val="ListBullet"/>
      </w:pPr>
      <w:r>
        <w:t>BOJ policy announcements and Japanese economic data released here</w:t>
      </w:r>
    </w:p>
    <w:p>
      <w:pPr>
        <w:pStyle w:val="Heading3"/>
      </w:pPr>
      <w:r>
        <w:t>London Session</w:t>
      </w:r>
    </w:p>
    <w:p>
      <w:pPr>
        <w:pStyle w:val="ListBullet"/>
      </w:pPr>
      <w:r>
        <w:t>Hours: 08:00–17:00 UTC</w:t>
      </w:r>
    </w:p>
    <w:p>
      <w:pPr>
        <w:pStyle w:val="ListBullet"/>
      </w:pPr>
      <w:r>
        <w:t>Largest session by volume (UK = 38% of global FX turnover, BIS 2022)</w:t>
      </w:r>
    </w:p>
    <w:p>
      <w:pPr>
        <w:pStyle w:val="ListBullet"/>
      </w:pPr>
      <w:r>
        <w:t>Overlaps with Tokyo (08:00–09:00) and New York (13:00–17:00)</w:t>
      </w:r>
    </w:p>
    <w:p>
      <w:pPr>
        <w:pStyle w:val="ListBullet"/>
      </w:pPr>
      <w:r>
        <w:t>Key pairs: EUR/USD, GBP/USD, USD/CHF, EUR/GBP</w:t>
      </w:r>
    </w:p>
    <w:p>
      <w:pPr>
        <w:pStyle w:val="ListBullet"/>
      </w:pPr>
      <w:r>
        <w:t>Highest average pip movements across all major pairs</w:t>
      </w:r>
    </w:p>
    <w:p>
      <w:pPr>
        <w:pStyle w:val="ListBullet"/>
      </w:pPr>
      <w:r>
        <w:t>European economic releases (ECB, UK data) drive volatility</w:t>
      </w:r>
    </w:p>
    <w:p>
      <w:r>
        <w:t>Table: Average pip movement per pair per session (Tokyo / London / New York) — 12 major pairs</w:t>
      </w:r>
    </w:p>
    <w:p>
      <w:pPr>
        <w:pStyle w:val="Heading3"/>
      </w:pPr>
      <w:r>
        <w:t>New York Session</w:t>
      </w:r>
    </w:p>
    <w:p>
      <w:pPr>
        <w:pStyle w:val="ListBullet"/>
      </w:pPr>
      <w:r>
        <w:t>Hours: 13:00–22:00 UTC</w:t>
      </w:r>
    </w:p>
    <w:p>
      <w:pPr>
        <w:pStyle w:val="ListBullet"/>
      </w:pPr>
      <w:r>
        <w:t>Overlaps with London for first 4 hours (busiest window of the day)</w:t>
      </w:r>
    </w:p>
    <w:p>
      <w:pPr>
        <w:pStyle w:val="ListBullet"/>
      </w:pPr>
      <w:r>
        <w:t>US economic data (NFP, CPI, FOMC) released during this session</w:t>
      </w:r>
    </w:p>
    <w:p>
      <w:pPr>
        <w:pStyle w:val="ListBullet"/>
      </w:pPr>
      <w:r>
        <w:t>Key pairs: EUR/USD, GBP/USD, USD/CAD, USD/JPY</w:t>
      </w:r>
    </w:p>
    <w:p>
      <w:pPr>
        <w:pStyle w:val="ListBullet"/>
      </w:pPr>
      <w:r>
        <w:t>Afternoon liquidity drops sharply once London closes (~17:00 UTC)</w:t>
      </w:r>
    </w:p>
    <w:p>
      <w:pPr>
        <w:pStyle w:val="ListBullet"/>
      </w:pPr>
      <w:r>
        <w:t>Friday afternoon: lowest liquidity of the week, wider spreads</w:t>
      </w:r>
    </w:p>
    <w:p>
      <w:pPr>
        <w:pStyle w:val="Heading2"/>
      </w:pPr>
      <w:r>
        <w:t>Session Times at a Glance</w:t>
      </w:r>
    </w:p>
    <w:p>
      <w:pPr>
        <w:spacing w:before="40"/>
      </w:pPr>
      <w:r>
        <w:rPr>
          <w:b/>
          <w:color w:val="555555"/>
          <w:sz w:val="20"/>
        </w:rPr>
        <w:t xml:space="preserve">Target keyword: </w:t>
      </w:r>
      <w:r>
        <w:rPr>
          <w:i/>
          <w:color w:val="555555"/>
          <w:sz w:val="20"/>
        </w:rPr>
        <w:t>forex session times</w:t>
      </w:r>
    </w:p>
    <w:p>
      <w:r>
        <w:t>Table: Session open/close in UTC, EST, and GMT with clear formatting</w:t>
      </w:r>
    </w:p>
    <w:p>
      <w:pPr>
        <w:spacing w:before="120" w:after="120"/>
        <w:ind w:left="432"/>
      </w:pPr>
      <w:r>
        <w:rPr>
          <w:b/>
          <w:color w:val="0781FE"/>
        </w:rPr>
        <w:t xml:space="preserve">Tip: </w:t>
      </w:r>
      <w:r>
        <w:rPr>
          <w:color w:val="1A1A2E"/>
        </w:rPr>
        <w:t>"Bookmark a forex market hours tool or converter. Session times shift by one hour during Daylight Saving Time transitions in March/April and October/November."</w:t>
      </w:r>
    </w:p>
    <w:p>
      <w:pPr>
        <w:pStyle w:val="Heading2"/>
      </w:pPr>
      <w:r>
        <w:t>Session Overlaps: Where the Action Is</w:t>
      </w:r>
    </w:p>
    <w:p>
      <w:r>
        <w:rPr>
          <w:b/>
          <w:color w:val="0781FE"/>
        </w:rPr>
        <w:t xml:space="preserve">Key points: </w:t>
      </w:r>
      <w:r/>
    </w:p>
    <w:p>
      <w:pPr>
        <w:pStyle w:val="ListBullet"/>
      </w:pPr>
      <w:r>
        <w:t>Three overlap windows exist each day</w:t>
      </w:r>
    </w:p>
    <w:p>
      <w:pPr>
        <w:pStyle w:val="ListBullet"/>
      </w:pPr>
      <w:r>
        <w:t>London-New York overlap (13:00–17:00 UTC): most significant</w:t>
      </w:r>
    </w:p>
    <w:p>
      <w:pPr>
        <w:pStyle w:val="ListBullet"/>
      </w:pPr>
      <w:r>
        <w:t>37% of daily volume in just 19% of the trading day (OANDA, 70,000 data points)</w:t>
      </w:r>
    </w:p>
    <w:p>
      <w:pPr>
        <w:pStyle w:val="ListBullet"/>
      </w:pPr>
      <w:r>
        <w:t>Tightest spreads, highest volatility</w:t>
      </w:r>
    </w:p>
    <w:p>
      <w:pPr>
        <w:pStyle w:val="ListBullet"/>
      </w:pPr>
      <w:r>
        <w:t>EUR/USD, GBP/USD most active</w:t>
      </w:r>
    </w:p>
    <w:p>
      <w:pPr>
        <w:pStyle w:val="ListBullet"/>
      </w:pPr>
      <w:r>
        <w:t>Tokyo-London overlap (08:00–09:00 UTC): brief but can produce sharp moves</w:t>
      </w:r>
    </w:p>
    <w:p>
      <w:pPr>
        <w:pStyle w:val="ListBullet"/>
      </w:pPr>
      <w:r>
        <w:t>EUR/JPY, GBP/JPY see activity spikes</w:t>
      </w:r>
    </w:p>
    <w:p>
      <w:pPr>
        <w:pStyle w:val="ListBullet"/>
      </w:pPr>
      <w:r>
        <w:t>Sydney-Tokyo overlap (00:00–07:00 UTC): longest overlap but lower overall volume</w:t>
      </w:r>
    </w:p>
    <w:p>
      <w:pPr>
        <w:pStyle w:val="ListBullet"/>
      </w:pPr>
      <w:r>
        <w:t>Best for AUD and JPY crosses</w:t>
      </w:r>
    </w:p>
    <w:p>
      <w:r>
        <w:t>Table: Overlap windows with UTC times, duration, key pairs, and relative volume level</w:t>
      </w:r>
    </w:p>
    <w:p>
      <w:pPr>
        <w:spacing w:before="120" w:after="120"/>
        <w:ind w:left="432"/>
      </w:pPr>
      <w:r>
        <w:rPr>
          <w:b/>
          <w:color w:val="0781FE"/>
        </w:rPr>
        <w:t xml:space="preserve">Important: </w:t>
      </w:r>
      <w:r>
        <w:rPr>
          <w:color w:val="1A1A2E"/>
        </w:rPr>
        <w:t>"The London-New York overlap is the single most active period in forex. If you can only trade during one window per day, this is the one with the most opportunity and the tightest trading costs."</w:t>
      </w:r>
    </w:p>
    <w:p>
      <w:pPr>
        <w:pStyle w:val="Heading2"/>
      </w:pPr>
      <w:r>
        <w:t>Daylight Saving Time and Session Shifts</w:t>
      </w:r>
    </w:p>
    <w:p>
      <w:r>
        <w:rPr>
          <w:b/>
          <w:color w:val="0781FE"/>
        </w:rPr>
        <w:t xml:space="preserve">Key points: </w:t>
      </w:r>
      <w:r/>
    </w:p>
    <w:p>
      <w:pPr>
        <w:pStyle w:val="ListBullet"/>
      </w:pPr>
      <w:r>
        <w:t>US, UK, Australia observe DST; Japan does not</w:t>
      </w:r>
    </w:p>
    <w:p>
      <w:pPr>
        <w:pStyle w:val="ListBullet"/>
      </w:pPr>
      <w:r>
        <w:t>DST transitions happen on different dates in different countries</w:t>
      </w:r>
    </w:p>
    <w:p>
      <w:pPr>
        <w:pStyle w:val="ListBullet"/>
      </w:pPr>
      <w:r>
        <w:t>Effect: overlap windows temporarily shrink or expand by one hour</w:t>
      </w:r>
    </w:p>
    <w:p>
      <w:pPr>
        <w:pStyle w:val="ListBullet"/>
      </w:pPr>
      <w:r>
        <w:t>Months affected: March, April, October, November</w:t>
      </w:r>
    </w:p>
    <w:p>
      <w:pPr>
        <w:pStyle w:val="ListBullet"/>
      </w:pPr>
      <w:r>
        <w:t>Practical impact: set calendar reminders for DST transitions</w:t>
      </w:r>
    </w:p>
    <w:p>
      <w:pPr>
        <w:spacing w:before="120" w:after="120"/>
        <w:ind w:left="432"/>
      </w:pPr>
      <w:r>
        <w:rPr>
          <w:b/>
          <w:color w:val="0781FE"/>
        </w:rPr>
        <w:t xml:space="preserve">Note: </w:t>
      </w:r>
      <w:r>
        <w:rPr>
          <w:color w:val="1A1A2E"/>
        </w:rPr>
        <w:t>"When the US shifts to DST before the UK (early March), the London-New York overlap temporarily shortens by one hour. This happens every year and catches traders off guard."</w:t>
      </w:r>
    </w:p>
    <w:p>
      <w:pPr>
        <w:pStyle w:val="Heading2"/>
      </w:pPr>
      <w:r>
        <w:t>Best Time to Trade Forex</w:t>
      </w:r>
    </w:p>
    <w:p>
      <w:pPr>
        <w:spacing w:before="40"/>
      </w:pPr>
      <w:r>
        <w:rPr>
          <w:b/>
          <w:color w:val="555555"/>
          <w:sz w:val="20"/>
        </w:rPr>
        <w:t xml:space="preserve">Target keyword: </w:t>
      </w:r>
      <w:r>
        <w:rPr>
          <w:i/>
          <w:color w:val="555555"/>
          <w:sz w:val="20"/>
        </w:rPr>
        <w:t>best time to trade forex</w:t>
      </w:r>
    </w:p>
    <w:p>
      <w:r>
        <w:rPr>
          <w:b/>
          <w:color w:val="0781FE"/>
        </w:rPr>
        <w:t xml:space="preserve">Key points: </w:t>
      </w:r>
      <w:r/>
    </w:p>
    <w:p>
      <w:pPr>
        <w:pStyle w:val="ListBullet"/>
      </w:pPr>
      <w:r>
        <w:t>Best time depends on: your timezone, your trading style, and the pairs you trade</w:t>
      </w:r>
    </w:p>
    <w:p>
      <w:pPr>
        <w:pStyle w:val="ListBullet"/>
      </w:pPr>
      <w:r>
        <w:t>General rule: trade when the session of your base or quote currency is active</w:t>
      </w:r>
    </w:p>
    <w:p>
      <w:pPr>
        <w:pStyle w:val="ListBullet"/>
      </w:pPr>
      <w:r>
        <w:t>Mapping sessions to trading styles:</w:t>
      </w:r>
    </w:p>
    <w:p>
      <w:pPr>
        <w:pStyle w:val="Heading3"/>
      </w:pPr>
      <w:r>
        <w:t>Matching Sessions to Your Trading Style</w:t>
      </w:r>
    </w:p>
    <w:p>
      <w:pPr>
        <w:pStyle w:val="ListBullet"/>
      </w:pPr>
      <w:r>
        <w:rPr>
          <w:b/>
        </w:rPr>
        <w:t>Scalping:</w:t>
      </w:r>
      <w:r>
        <w:t xml:space="preserve"> London-NY overlap (tightest spreads, highest volatility, fastest fills)</w:t>
      </w:r>
    </w:p>
    <w:p>
      <w:pPr>
        <w:pStyle w:val="ListBullet"/>
      </w:pPr>
      <w:r>
        <w:rPr>
          <w:b/>
        </w:rPr>
        <w:t>Day trading:</w:t>
      </w:r>
      <w:r>
        <w:t xml:space="preserve"> London session or NY morning (sufficient range for intraday targets)</w:t>
      </w:r>
    </w:p>
    <w:p>
      <w:pPr>
        <w:pStyle w:val="ListBullet"/>
      </w:pPr>
      <w:r>
        <w:rPr>
          <w:b/>
        </w:rPr>
        <w:t>Swing trading:</w:t>
      </w:r>
      <w:r>
        <w:t xml:space="preserve"> session timing less critical (holding across sessions), but enter during liquid hours to avoid slippage</w:t>
      </w:r>
    </w:p>
    <w:p>
      <w:pPr>
        <w:pStyle w:val="ListBullet"/>
      </w:pPr>
      <w:r>
        <w:rPr>
          <w:b/>
        </w:rPr>
        <w:t>Position trading:</w:t>
      </w:r>
      <w:r>
        <w:t xml:space="preserve"> minimal session impact, but avoid opening positions during thin liquidity</w:t>
      </w:r>
    </w:p>
    <w:p>
      <w:r>
        <w:t>Table: Trading Style / Recommended Session / Why / Pairs to Focus</w:t>
      </w:r>
    </w:p>
    <w:p>
      <w:pPr>
        <w:pStyle w:val="Heading3"/>
      </w:pPr>
      <w:r>
        <w:t>Which Pairs Move When</w:t>
      </w:r>
    </w:p>
    <w:p>
      <w:pPr>
        <w:pStyle w:val="ListBullet"/>
      </w:pPr>
      <w:r>
        <w:t>EUR/USD, GBP/USD: London + NY overlap</w:t>
      </w:r>
    </w:p>
    <w:p>
      <w:pPr>
        <w:pStyle w:val="ListBullet"/>
      </w:pPr>
      <w:r>
        <w:t>USD/JPY: Tokyo + London-NY</w:t>
      </w:r>
    </w:p>
    <w:p>
      <w:pPr>
        <w:pStyle w:val="ListBullet"/>
      </w:pPr>
      <w:r>
        <w:t>AUD/USD, NZD/USD: Sydney-Tokyo overlap</w:t>
      </w:r>
    </w:p>
    <w:p>
      <w:pPr>
        <w:pStyle w:val="ListBullet"/>
      </w:pPr>
      <w:r>
        <w:t>USD/CAD: NY session (US + Canadian data releases)</w:t>
      </w:r>
    </w:p>
    <w:p>
      <w:pPr>
        <w:pStyle w:val="ListBullet"/>
      </w:pPr>
      <w:r>
        <w:t>Cross pairs (EUR/JPY, GBP/JPY): London session</w:t>
      </w:r>
    </w:p>
    <w:p>
      <w:pPr>
        <w:pStyle w:val="Heading2"/>
      </w:pPr>
      <w:r>
        <w:t>Best and Worst Days of the Week</w:t>
      </w:r>
    </w:p>
    <w:p>
      <w:r>
        <w:rPr>
          <w:b/>
          <w:color w:val="0781FE"/>
        </w:rPr>
        <w:t xml:space="preserve">Key points: </w:t>
      </w:r>
      <w:r/>
    </w:p>
    <w:p>
      <w:pPr>
        <w:pStyle w:val="ListBullet"/>
      </w:pPr>
      <w:r>
        <w:t>Tuesday through Thursday: highest average pip ranges</w:t>
      </w:r>
    </w:p>
    <w:p>
      <w:pPr>
        <w:pStyle w:val="ListBullet"/>
      </w:pPr>
      <w:r>
        <w:t>Monday: markets warming up, lower ranges</w:t>
      </w:r>
    </w:p>
    <w:p>
      <w:pPr>
        <w:pStyle w:val="ListBullet"/>
      </w:pPr>
      <w:r>
        <w:t>Friday: active until ~12:00 EST, then liquidity drops sharply</w:t>
      </w:r>
    </w:p>
    <w:p>
      <w:pPr>
        <w:pStyle w:val="ListBullet"/>
      </w:pPr>
      <w:r>
        <w:t>Friday afternoon risk: wider spreads, weekend gap exposure</w:t>
      </w:r>
    </w:p>
    <w:p>
      <w:pPr>
        <w:pStyle w:val="ListBullet"/>
      </w:pPr>
      <w:r>
        <w:t>Reference: day-of-week pip range table</w:t>
      </w:r>
    </w:p>
    <w:p>
      <w:r>
        <w:t>Table: Day-of-week average pip movement for 5–6 major pairs</w:t>
      </w:r>
    </w:p>
    <w:p>
      <w:pPr>
        <w:spacing w:before="120" w:after="120"/>
        <w:ind w:left="432"/>
      </w:pPr>
      <w:r>
        <w:rPr>
          <w:b/>
          <w:color w:val="0781FE"/>
        </w:rPr>
        <w:t xml:space="preserve">Warning: </w:t>
      </w:r>
      <w:r>
        <w:rPr>
          <w:color w:val="1A1A2E"/>
        </w:rPr>
        <w:t>"Friday afternoon trading carries hidden costs. Liquidity drops after London closes, spreads widen, and any position held over the weekend is exposed to gap risk from events that occur while the market is closed."</w:t>
      </w:r>
    </w:p>
    <w:p>
      <w:pPr>
        <w:pStyle w:val="Heading2"/>
      </w:pPr>
      <w:r>
        <w:t>Economic Releases and Session Timing</w:t>
      </w:r>
    </w:p>
    <w:p>
      <w:r>
        <w:rPr>
          <w:b/>
          <w:color w:val="0781FE"/>
        </w:rPr>
        <w:t xml:space="preserve">Key points: </w:t>
      </w:r>
      <w:r/>
    </w:p>
    <w:p>
      <w:pPr>
        <w:pStyle w:val="ListBullet"/>
      </w:pPr>
      <w:r>
        <w:t>High-impact releases are clustered within specific sessions</w:t>
      </w:r>
    </w:p>
    <w:p>
      <w:pPr>
        <w:pStyle w:val="ListBullet"/>
      </w:pPr>
      <w:r>
        <w:t>Tokyo: BOJ rate decisions, Japanese GDP, Tankan survey</w:t>
      </w:r>
    </w:p>
    <w:p>
      <w:pPr>
        <w:pStyle w:val="ListBullet"/>
      </w:pPr>
      <w:r>
        <w:t>London: ECB decisions, UK employment, eurozone PMIs</w:t>
      </w:r>
    </w:p>
    <w:p>
      <w:pPr>
        <w:pStyle w:val="ListBullet"/>
      </w:pPr>
      <w:r>
        <w:t>New York: NFP, CPI, FOMC, US GDP</w:t>
      </w:r>
    </w:p>
    <w:p>
      <w:pPr>
        <w:pStyle w:val="ListBullet"/>
      </w:pPr>
      <w:r>
        <w:t>Practical guidance: check an economic calendar before each trading day</w:t>
      </w:r>
    </w:p>
    <w:p>
      <w:pPr>
        <w:pStyle w:val="ListBullet"/>
      </w:pPr>
      <w:r>
        <w:t>Volatility spikes around releases create both opportunity and risk</w:t>
      </w:r>
    </w:p>
    <w:p>
      <w:pPr>
        <w:spacing w:before="120" w:after="120"/>
        <w:ind w:left="432"/>
      </w:pPr>
      <w:r>
        <w:rPr>
          <w:b/>
          <w:color w:val="0781FE"/>
        </w:rPr>
        <w:t xml:space="preserve">Tip: </w:t>
      </w:r>
      <w:r>
        <w:rPr>
          <w:color w:val="1A1A2E"/>
        </w:rPr>
        <w:t>"Economic releases do not just affect the session they occur in. A strong US NFP report at 13:30 UTC can set the tone for the rest of the New York session and influence the Asian open hours later."</w:t>
      </w:r>
    </w:p>
    <w:p>
      <w:pPr>
        <w:pStyle w:val="Heading2"/>
      </w:pPr>
      <w:r>
        <w:t>Key Takeaways</w:t>
      </w:r>
    </w:p>
    <w:p>
      <w:pPr>
        <w:pStyle w:val="ListBullet"/>
      </w:pPr>
      <w:r>
        <w:t>The forex market trades 24 hours from Sunday 22:00 to Friday 22:00 UTC</w:t>
      </w:r>
    </w:p>
    <w:p>
      <w:pPr>
        <w:pStyle w:val="ListBullet"/>
      </w:pPr>
      <w:r>
        <w:t>Four sessions (Sydney, Tokyo, London, New York) create distinct trading conditions</w:t>
      </w:r>
    </w:p>
    <w:p>
      <w:pPr>
        <w:pStyle w:val="ListBullet"/>
      </w:pPr>
      <w:r>
        <w:t>The London-New York overlap is the highest-volume, tightest-spread window</w:t>
      </w:r>
    </w:p>
    <w:p>
      <w:pPr>
        <w:pStyle w:val="ListBullet"/>
      </w:pPr>
      <w:r>
        <w:t>Match your trading session to your style: scalpers need overlaps, swing traders need liquid entry windows</w:t>
      </w:r>
    </w:p>
    <w:p>
      <w:pPr>
        <w:pStyle w:val="ListBullet"/>
      </w:pPr>
      <w:r>
        <w:t>DST shifts alter overlap durations in March/April and October/November</w:t>
      </w:r>
    </w:p>
    <w:p>
      <w:pPr>
        <w:pStyle w:val="ListBullet"/>
      </w:pPr>
      <w:r>
        <w:t>Tuesday to Thursday offer the widest average pip ranges</w:t>
      </w:r>
    </w:p>
    <w:p>
      <w:pPr>
        <w:pStyle w:val="ListBullet"/>
      </w:pPr>
      <w:r>
        <w:t>Always check the economic calendar before trading — high-impact releases cluster by session</w:t>
      </w:r>
    </w:p>
    <w:p>
      <w:pPr>
        <w:pStyle w:val="Heading2"/>
      </w:pPr>
      <w:r>
        <w:t>Internal Links Plan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23A83"/>
          </w:tcPr>
          <w:p>
            <w:pPr/>
            <w:r>
              <w:rPr>
                <w:b/>
                <w:color w:val="FFFFFF"/>
              </w:rPr>
              <w:t>#</w:t>
            </w:r>
          </w:p>
        </w:tc>
        <w:tc>
          <w:tcPr>
            <w:tcW w:type="dxa" w:w="1728"/>
            <w:shd w:val="clear" w:color="auto" w:fill="123A83"/>
          </w:tcPr>
          <w:p>
            <w:pPr/>
            <w:r>
              <w:rPr>
                <w:b/>
                <w:color w:val="FFFFFF"/>
              </w:rPr>
              <w:t>Link Text</w:t>
            </w:r>
          </w:p>
        </w:tc>
        <w:tc>
          <w:tcPr>
            <w:tcW w:type="dxa" w:w="1728"/>
            <w:shd w:val="clear" w:color="auto" w:fill="123A83"/>
          </w:tcPr>
          <w:p>
            <w:pPr/>
            <w:r>
              <w:rPr>
                <w:b/>
                <w:color w:val="FFFFFF"/>
              </w:rPr>
              <w:t>Target Lesson</w:t>
            </w:r>
          </w:p>
        </w:tc>
        <w:tc>
          <w:tcPr>
            <w:tcW w:type="dxa" w:w="1728"/>
            <w:shd w:val="clear" w:color="auto" w:fill="123A83"/>
          </w:tcPr>
          <w:p>
            <w:pPr/>
            <w:r>
              <w:rPr>
                <w:b/>
                <w:color w:val="FFFFFF"/>
              </w:rPr>
              <w:t>Slug</w:t>
            </w:r>
          </w:p>
        </w:tc>
        <w:tc>
          <w:tcPr>
            <w:tcW w:type="dxa" w:w="1728"/>
            <w:shd w:val="clear" w:color="auto" w:fill="123A83"/>
          </w:tcPr>
          <w:p>
            <w:pPr/>
            <w:r>
              <w:rPr>
                <w:b/>
                <w:color w:val="FFFFFF"/>
              </w:rPr>
              <w:t>Placement</w:t>
            </w:r>
          </w:p>
        </w:tc>
      </w:tr>
      <w:tr>
        <w:tc>
          <w:tcPr>
            <w:tcW w:type="dxa" w:w="1728"/>
          </w:tcPr>
          <w:p>
            <w:pPr/>
            <w:r>
              <w:t>1</w:t>
            </w:r>
          </w:p>
        </w:tc>
        <w:tc>
          <w:tcPr>
            <w:tcW w:type="dxa" w:w="1728"/>
          </w:tcPr>
          <w:p>
            <w:pPr/>
            <w:r>
              <w:t>What is Forex</w:t>
            </w:r>
          </w:p>
        </w:tc>
        <w:tc>
          <w:tcPr>
            <w:tcW w:type="dxa" w:w="1728"/>
          </w:tcPr>
          <w:p>
            <w:pPr/>
            <w:r>
              <w:t>What is Forex (1.3.1.)</w:t>
            </w:r>
          </w:p>
        </w:tc>
        <w:tc>
          <w:tcPr>
            <w:tcW w:type="dxa" w:w="1728"/>
          </w:tcPr>
          <w:p>
            <w:pPr/>
            <w:r>
              <w:t>what-is-forex-and-how-it-differs-from-other-markets</w:t>
            </w:r>
          </w:p>
        </w:tc>
        <w:tc>
          <w:tcPr>
            <w:tcW w:type="dxa" w:w="1728"/>
          </w:tcPr>
          <w:p>
            <w:pPr/>
            <w:r>
              <w:t>Intro / Why Hours Matter</w:t>
            </w:r>
          </w:p>
        </w:tc>
      </w:tr>
      <w:tr>
        <w:tc>
          <w:tcPr>
            <w:tcW w:type="dxa" w:w="1728"/>
          </w:tcPr>
          <w:p>
            <w:pPr/>
            <w:r>
              <w:t>2</w:t>
            </w:r>
          </w:p>
        </w:tc>
        <w:tc>
          <w:tcPr>
            <w:tcW w:type="dxa" w:w="1728"/>
          </w:tcPr>
          <w:p>
            <w:pPr/>
            <w:r>
              <w:t>Forex Market Structure</w:t>
            </w:r>
          </w:p>
        </w:tc>
        <w:tc>
          <w:tcPr>
            <w:tcW w:type="dxa" w:w="1728"/>
          </w:tcPr>
          <w:p>
            <w:pPr/>
            <w:r>
              <w:t>Forex Market Structure (1.3.2.)</w:t>
            </w:r>
          </w:p>
        </w:tc>
        <w:tc>
          <w:tcPr>
            <w:tcW w:type="dxa" w:w="1728"/>
          </w:tcPr>
          <w:p>
            <w:pPr/>
            <w:r>
              <w:t>forex-market-structure-and-participants</w:t>
            </w:r>
          </w:p>
        </w:tc>
        <w:tc>
          <w:tcPr>
            <w:tcW w:type="dxa" w:w="1728"/>
          </w:tcPr>
          <w:p>
            <w:pPr/>
            <w:r>
              <w:t>The Four Sessions intro</w:t>
            </w:r>
          </w:p>
        </w:tc>
      </w:tr>
      <w:tr>
        <w:tc>
          <w:tcPr>
            <w:tcW w:type="dxa" w:w="1728"/>
          </w:tcPr>
          <w:p>
            <w:pPr/>
            <w:r>
              <w:t>3</w:t>
            </w:r>
          </w:p>
        </w:tc>
        <w:tc>
          <w:tcPr>
            <w:tcW w:type="dxa" w:w="1728"/>
          </w:tcPr>
          <w:p>
            <w:pPr/>
            <w:r>
              <w:t>Currencies and Correlations</w:t>
            </w:r>
          </w:p>
        </w:tc>
        <w:tc>
          <w:tcPr>
            <w:tcW w:type="dxa" w:w="1728"/>
          </w:tcPr>
          <w:p>
            <w:pPr/>
            <w:r>
              <w:t>Currencies and Correlations (1.3.3.)</w:t>
            </w:r>
          </w:p>
        </w:tc>
        <w:tc>
          <w:tcPr>
            <w:tcW w:type="dxa" w:w="1728"/>
          </w:tcPr>
          <w:p>
            <w:pPr/>
            <w:r>
              <w:t>what-is-traded-in-forex-currencies-and-correlations</w:t>
            </w:r>
          </w:p>
        </w:tc>
        <w:tc>
          <w:tcPr>
            <w:tcW w:type="dxa" w:w="1728"/>
          </w:tcPr>
          <w:p>
            <w:pPr/>
            <w:r>
              <w:t>Which Pairs Move When</w:t>
            </w:r>
          </w:p>
        </w:tc>
      </w:tr>
      <w:tr>
        <w:tc>
          <w:tcPr>
            <w:tcW w:type="dxa" w:w="1728"/>
          </w:tcPr>
          <w:p>
            <w:pPr/>
            <w:r>
              <w:t>4</w:t>
            </w:r>
          </w:p>
        </w:tc>
        <w:tc>
          <w:tcPr>
            <w:tcW w:type="dxa" w:w="1728"/>
          </w:tcPr>
          <w:p>
            <w:pPr/>
            <w:r>
              <w:t>Chart Types</w:t>
            </w:r>
          </w:p>
        </w:tc>
        <w:tc>
          <w:tcPr>
            <w:tcW w:type="dxa" w:w="1728"/>
          </w:tcPr>
          <w:p>
            <w:pPr/>
            <w:r>
              <w:t>Chart Types (2.1.1.)</w:t>
            </w:r>
          </w:p>
        </w:tc>
        <w:tc>
          <w:tcPr>
            <w:tcW w:type="dxa" w:w="1728"/>
          </w:tcPr>
          <w:p>
            <w:pPr/>
            <w:r>
              <w:t>types-of-trading-charts</w:t>
            </w:r>
          </w:p>
        </w:tc>
        <w:tc>
          <w:tcPr>
            <w:tcW w:type="dxa" w:w="1728"/>
          </w:tcPr>
          <w:p>
            <w:pPr/>
            <w:r>
              <w:t>Key Takeaways / next lesson</w:t>
            </w:r>
          </w:p>
        </w:tc>
      </w:tr>
      <w:tr>
        <w:tc>
          <w:tcPr>
            <w:tcW w:type="dxa" w:w="1728"/>
          </w:tcPr>
          <w:p>
            <w:pPr/>
            <w:r>
              <w:t>5</w:t>
            </w:r>
          </w:p>
        </w:tc>
        <w:tc>
          <w:tcPr>
            <w:tcW w:type="dxa" w:w="1728"/>
          </w:tcPr>
          <w:p>
            <w:pPr/>
            <w:r>
              <w:t>Choosing Timeframes</w:t>
            </w:r>
          </w:p>
        </w:tc>
        <w:tc>
          <w:tcPr>
            <w:tcW w:type="dxa" w:w="1728"/>
          </w:tcPr>
          <w:p>
            <w:pPr/>
            <w:r>
              <w:t>Choosing Timeframes (2.1.2.)</w:t>
            </w:r>
          </w:p>
        </w:tc>
        <w:tc>
          <w:tcPr>
            <w:tcW w:type="dxa" w:w="1728"/>
          </w:tcPr>
          <w:p>
            <w:pPr/>
            <w:r>
              <w:t>choosing-timeframes-by-trading-style</w:t>
            </w:r>
          </w:p>
        </w:tc>
        <w:tc>
          <w:tcPr>
            <w:tcW w:type="dxa" w:w="1728"/>
          </w:tcPr>
          <w:p>
            <w:pPr/>
            <w:r>
              <w:t>Matching Sessions to Style</w:t>
            </w:r>
          </w:p>
        </w:tc>
      </w:tr>
      <w:tr>
        <w:tc>
          <w:tcPr>
            <w:tcW w:type="dxa" w:w="1728"/>
          </w:tcPr>
          <w:p>
            <w:pPr/>
            <w:r>
              <w:t>6</w:t>
            </w:r>
          </w:p>
        </w:tc>
        <w:tc>
          <w:tcPr>
            <w:tcW w:type="dxa" w:w="1728"/>
          </w:tcPr>
          <w:p>
            <w:pPr/>
            <w:r>
              <w:t>CFD</w:t>
            </w:r>
          </w:p>
        </w:tc>
        <w:tc>
          <w:tcPr>
            <w:tcW w:type="dxa" w:w="1728"/>
          </w:tcPr>
          <w:p>
            <w:pPr/>
            <w:r>
              <w:t>CFD (1.2.4.)</w:t>
            </w:r>
          </w:p>
        </w:tc>
        <w:tc>
          <w:tcPr>
            <w:tcW w:type="dxa" w:w="1728"/>
          </w:tcPr>
          <w:p>
            <w:pPr/>
            <w:r>
              <w:t>cfd</w:t>
            </w:r>
          </w:p>
        </w:tc>
        <w:tc>
          <w:tcPr>
            <w:tcW w:type="dxa" w:w="1728"/>
          </w:tcPr>
          <w:p>
            <w:pPr/>
            <w:r>
              <w:t>The Four Sessions (context: CFD trading hours may differ)</w:t>
            </w:r>
          </w:p>
        </w:tc>
      </w:tr>
    </w:tbl>
    <w:p/>
    <w:p>
      <w:pPr>
        <w:pStyle w:val="Heading2"/>
      </w:pPr>
      <w:r>
        <w:t>Content Validation</w:t>
      </w:r>
    </w:p>
    <w:p>
      <w:pPr>
        <w:pStyle w:val="ListBullet"/>
      </w:pPr>
      <w:r>
        <w:rPr>
          <w:b/>
        </w:rPr>
        <w:t>Structure logic:</w:t>
      </w:r>
      <w:r>
        <w:t xml:space="preserve"> Follows natural progression: why it matters, what the sessions are, when they overlap, how to use this information, weekly patterns, economic calendar context. Each section builds on the previous.</w:t>
      </w:r>
    </w:p>
    <w:p>
      <w:pPr>
        <w:pStyle w:val="ListBullet"/>
      </w:pPr>
      <w:r>
        <w:rPr>
          <w:b/>
        </w:rPr>
        <w:t>Key concepts present:</w:t>
      </w:r>
      <w:r>
        <w:t xml:space="preserve"> All four sessions, overlap windows, DST, best/worst times, day-of-week patterns, pair-session mapping. Complete for BEGINNER classification.</w:t>
      </w:r>
    </w:p>
    <w:p>
      <w:pPr>
        <w:pStyle w:val="ListBullet"/>
      </w:pPr>
      <w:r>
        <w:rPr>
          <w:b/>
        </w:rPr>
        <w:t>Didactic sequence:</w:t>
      </w:r>
      <w:r>
        <w:t xml:space="preserve"> Correct. Moves from concept (what) to data (when) to application (how to use).</w:t>
      </w:r>
    </w:p>
    <w:p>
      <w:pPr>
        <w:pStyle w:val="ListBullet"/>
      </w:pPr>
      <w:r>
        <w:rPr>
          <w:b/>
        </w:rPr>
        <w:t>Missing concepts:</w:t>
      </w:r>
      <w:r>
        <w:t xml:space="preserve"> None identified. The economic calendar section fills the gap competitors leave.</w:t>
      </w:r>
    </w:p>
    <w:p>
      <w:pPr>
        <w:pStyle w:val="ListBullet"/>
      </w:pPr>
      <w:r>
        <w:rPr>
          <w:b/>
        </w:rPr>
        <w:t>Out-of-scope check:</w:t>
      </w:r>
      <w:r>
        <w:t xml:space="preserve"> No algorithmic trading, no broker-specific hours, no emerging market sessions. Appropriate boundaries for beginner level.</w:t>
      </w:r>
    </w:p>
    <w:p>
      <w:pPr>
        <w:pStyle w:val="ListBullet"/>
      </w:pPr>
      <w:r>
        <w:rPr>
          <w:b/>
        </w:rPr>
        <w:t>Validation: PASS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A8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A8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3A8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23A8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