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Indicators and Oscillators</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Indicators and Oscillators</w:t>
            </w:r>
          </w:p>
        </w:tc>
      </w:tr>
      <w:tr>
        <w:tc>
          <w:tcPr>
            <w:tcW w:type="dxa" w:w="4320"/>
          </w:tcPr>
          <w:p>
            <w:pPr/>
            <w:r>
              <w:t>Czech Title</w:t>
            </w:r>
          </w:p>
        </w:tc>
        <w:tc>
          <w:tcPr>
            <w:tcW w:type="dxa" w:w="4320"/>
          </w:tcPr>
          <w:p>
            <w:pPr/>
            <w:r>
              <w:t>Indikátory a oscilátory</w:t>
            </w:r>
          </w:p>
        </w:tc>
      </w:tr>
      <w:tr>
        <w:tc>
          <w:tcPr>
            <w:tcW w:type="dxa" w:w="4320"/>
          </w:tcPr>
          <w:p>
            <w:pPr/>
            <w:r>
              <w:t>Slug</w:t>
            </w:r>
          </w:p>
        </w:tc>
        <w:tc>
          <w:tcPr>
            <w:tcW w:type="dxa" w:w="4320"/>
          </w:tcPr>
          <w:p>
            <w:pPr/>
            <w:r>
              <w:t>indicators-and-oscillators</w:t>
            </w:r>
          </w:p>
        </w:tc>
      </w:tr>
      <w:tr>
        <w:tc>
          <w:tcPr>
            <w:tcW w:type="dxa" w:w="4320"/>
          </w:tcPr>
          <w:p>
            <w:pPr/>
            <w:r>
              <w:t>Lokace</w:t>
            </w:r>
          </w:p>
        </w:tc>
        <w:tc>
          <w:tcPr>
            <w:tcW w:type="dxa" w:w="4320"/>
          </w:tcPr>
          <w:p>
            <w:pPr/>
            <w:r>
              <w:t>2.5.</w:t>
            </w:r>
          </w:p>
        </w:tc>
      </w:tr>
      <w:tr>
        <w:tc>
          <w:tcPr>
            <w:tcW w:type="dxa" w:w="4320"/>
          </w:tcPr>
          <w:p>
            <w:pPr/>
            <w:r>
              <w:t>Lesson level</w:t>
            </w:r>
          </w:p>
        </w:tc>
        <w:tc>
          <w:tcPr>
            <w:tcW w:type="dxa" w:w="4320"/>
          </w:tcPr>
          <w:p>
            <w:pPr/>
            <w:r>
              <w:t>Lekce (X.Y.) — SHORT OVERVIEW ARTICLE</w:t>
            </w:r>
          </w:p>
        </w:tc>
      </w:tr>
      <w:tr>
        <w:tc>
          <w:tcPr>
            <w:tcW w:type="dxa" w:w="4320"/>
          </w:tcPr>
          <w:p>
            <w:pPr/>
            <w:r>
              <w:t>Part</w:t>
            </w:r>
          </w:p>
        </w:tc>
        <w:tc>
          <w:tcPr>
            <w:tcW w:type="dxa" w:w="4320"/>
          </w:tcPr>
          <w:p>
            <w:pPr/>
            <w:r>
              <w:t>Part 2 — Technical Analysis</w:t>
            </w:r>
          </w:p>
        </w:tc>
      </w:tr>
      <w:tr>
        <w:tc>
          <w:tcPr>
            <w:tcW w:type="dxa" w:w="4320"/>
          </w:tcPr>
          <w:p>
            <w:pPr/>
            <w:r>
              <w:t>Module</w:t>
            </w:r>
          </w:p>
        </w:tc>
        <w:tc>
          <w:tcPr>
            <w:tcW w:type="dxa" w:w="4320"/>
          </w:tcPr>
          <w:p>
            <w:pPr/>
            <w:r>
              <w:t>Kurz Technická analýza</w:t>
            </w:r>
          </w:p>
        </w:tc>
      </w:tr>
      <w:tr>
        <w:tc>
          <w:tcPr>
            <w:tcW w:type="dxa" w:w="4320"/>
          </w:tcPr>
          <w:p>
            <w:pPr/>
            <w:r>
              <w:t>Position</w:t>
            </w:r>
          </w:p>
        </w:tc>
        <w:tc>
          <w:tcPr>
            <w:tcW w:type="dxa" w:w="4320"/>
          </w:tcPr>
          <w:p>
            <w:pPr/>
            <w:r>
              <w:t>Lekce 2.5. (overview article for 5 chapters: 2.5.1 – 2.5.5)</w:t>
            </w:r>
          </w:p>
        </w:tc>
      </w:tr>
      <w:tr>
        <w:tc>
          <w:tcPr>
            <w:tcW w:type="dxa" w:w="4320"/>
          </w:tcPr>
          <w:p>
            <w:pPr/>
            <w:r>
              <w:t>Classification</w:t>
            </w:r>
          </w:p>
        </w:tc>
        <w:tc>
          <w:tcPr>
            <w:tcW w:type="dxa" w:w="4320"/>
          </w:tcPr>
          <w:p>
            <w:pPr/>
            <w:r>
              <w:t>BEGINNER — the Lekce introduces the topic; depth lives in chapter articles</w:t>
            </w:r>
          </w:p>
        </w:tc>
      </w:tr>
      <w:tr>
        <w:tc>
          <w:tcPr>
            <w:tcW w:type="dxa" w:w="4320"/>
          </w:tcPr>
          <w:p>
            <w:pPr/>
            <w:r>
              <w:t>Word Count</w:t>
            </w:r>
          </w:p>
        </w:tc>
        <w:tc>
          <w:tcPr>
            <w:tcW w:type="dxa" w:w="4320"/>
          </w:tcPr>
          <w:p>
            <w:pPr/>
            <w:r>
              <w:t>450–550 words — target middle of the 400–700 Lekce range</w:t>
            </w:r>
          </w:p>
        </w:tc>
      </w:tr>
    </w:tbl>
    <w:p/>
    <w:p>
      <w:pPr>
        <w:pStyle w:val="Heading2"/>
      </w:pPr>
      <w:r>
        <w:t>Differentiation</w:t>
      </w:r>
    </w:p>
    <w:p>
      <w:r>
        <w:t>&gt; Note: Lekce is an overview/teaser, not a competitive article — minimal differentiation section.</w:t>
      </w:r>
    </w:p>
    <w:p>
      <w:pPr>
        <w:pStyle w:val="ListBullet"/>
      </w:pPr>
      <w:r>
        <w:t>Where competitors (StockCharts, TradersAsset) teach the entire classification in one long article, this Lekce introduces the topic and hands the reader off to dedicated chapter articles for depth</w:t>
      </w:r>
    </w:p>
    <w:p>
      <w:pPr>
        <w:pStyle w:val="ListBullet"/>
      </w:pPr>
      <w:r>
        <w:t>Preserve the intuitive visual distinction that competitors use: indicators overlay the chart, oscillators sit in a separate window below price</w:t>
      </w:r>
    </w:p>
    <w:p>
      <w:pPr>
        <w:pStyle w:val="ListBullet"/>
      </w:pPr>
      <w:r>
        <w:t>Explicitly signpost that calculation basics (period, source, price type) come BEFORE the indicator catalogue — this is the course's structural advantage over flat competitor articles</w:t>
      </w:r>
    </w:p>
    <w:p>
      <w:pPr>
        <w:pStyle w:val="ListBullet"/>
      </w:pPr>
      <w:r>
        <w:t>Frame indicators as tools that support decisions, never replace them — sets up the "risks" chapter honestly without preaching in the Lekce</w:t>
      </w:r>
    </w:p>
    <w:p>
      <w:pPr>
        <w:pStyle w:val="Heading2"/>
      </w:pPr>
      <w:r>
        <w:t>Keywords — Headings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Keyword</w:t>
            </w:r>
          </w:p>
        </w:tc>
        <w:tc>
          <w:tcPr>
            <w:tcW w:type="dxa" w:w="2160"/>
            <w:shd w:val="clear" w:color="auto" w:fill="123A83"/>
          </w:tcPr>
          <w:p>
            <w:pPr/>
            <w:r>
              <w:rPr>
                <w:b/>
                <w:color w:val="FFFFFF"/>
              </w:rPr>
              <w:t>Volume</w:t>
            </w:r>
          </w:p>
        </w:tc>
        <w:tc>
          <w:tcPr>
            <w:tcW w:type="dxa" w:w="2160"/>
            <w:shd w:val="clear" w:color="auto" w:fill="123A83"/>
          </w:tcPr>
          <w:p>
            <w:pPr/>
            <w:r>
              <w:rPr>
                <w:b/>
                <w:color w:val="FFFFFF"/>
              </w:rPr>
              <w:t>Heading</w:t>
            </w:r>
          </w:p>
        </w:tc>
      </w:tr>
      <w:tr>
        <w:tc>
          <w:tcPr>
            <w:tcW w:type="dxa" w:w="2160"/>
          </w:tcPr>
          <w:p>
            <w:pPr/>
            <w:r>
              <w:t>1</w:t>
            </w:r>
          </w:p>
        </w:tc>
        <w:tc>
          <w:tcPr>
            <w:tcW w:type="dxa" w:w="2160"/>
          </w:tcPr>
          <w:p>
            <w:pPr/>
            <w:r>
              <w:t>indicators and oscillators</w:t>
            </w:r>
          </w:p>
        </w:tc>
        <w:tc>
          <w:tcPr>
            <w:tcW w:type="dxa" w:w="2160"/>
          </w:tcPr>
          <w:p>
            <w:pPr/>
            <w:r>
              <w:t>70</w:t>
            </w:r>
          </w:p>
        </w:tc>
        <w:tc>
          <w:tcPr>
            <w:tcW w:type="dxa" w:w="2160"/>
          </w:tcPr>
          <w:p>
            <w:pPr/>
            <w:r>
              <w:t>H1</w:t>
            </w:r>
          </w:p>
        </w:tc>
      </w:tr>
      <w:tr>
        <w:tc>
          <w:tcPr>
            <w:tcW w:type="dxa" w:w="2160"/>
          </w:tcPr>
          <w:p>
            <w:pPr/>
            <w:r>
              <w:t>2</w:t>
            </w:r>
          </w:p>
        </w:tc>
        <w:tc>
          <w:tcPr>
            <w:tcW w:type="dxa" w:w="2160"/>
          </w:tcPr>
          <w:p>
            <w:pPr/>
            <w:r>
              <w:t>technical indicators</w:t>
            </w:r>
          </w:p>
        </w:tc>
        <w:tc>
          <w:tcPr>
            <w:tcW w:type="dxa" w:w="2160"/>
          </w:tcPr>
          <w:p>
            <w:pPr/>
            <w:r>
              <w:t>590</w:t>
            </w:r>
          </w:p>
        </w:tc>
        <w:tc>
          <w:tcPr>
            <w:tcW w:type="dxa" w:w="2160"/>
          </w:tcPr>
          <w:p>
            <w:pPr/>
            <w:r>
              <w:t>H2 ("What you will learn")</w:t>
            </w:r>
          </w:p>
        </w:tc>
      </w:tr>
      <w:tr>
        <w:tc>
          <w:tcPr>
            <w:tcW w:type="dxa" w:w="2160"/>
          </w:tcPr>
          <w:p>
            <w:pPr/>
            <w:r>
              <w:t>3</w:t>
            </w:r>
          </w:p>
        </w:tc>
        <w:tc>
          <w:tcPr>
            <w:tcW w:type="dxa" w:w="2160"/>
          </w:tcPr>
          <w:p>
            <w:pPr/>
            <w:r>
              <w:t>oscillators in trading</w:t>
            </w:r>
          </w:p>
        </w:tc>
        <w:tc>
          <w:tcPr>
            <w:tcW w:type="dxa" w:w="2160"/>
          </w:tcPr>
          <w:p>
            <w:pPr/>
            <w:r>
              <w:t>140</w:t>
            </w:r>
          </w:p>
        </w:tc>
        <w:tc>
          <w:tcPr>
            <w:tcW w:type="dxa" w:w="2160"/>
          </w:tcPr>
          <w:p>
            <w:pPr/>
            <w:r>
              <w:t>H2 ("Why ... matter for traders")</w:t>
            </w:r>
          </w:p>
        </w:tc>
      </w:tr>
      <w:tr>
        <w:tc>
          <w:tcPr>
            <w:tcW w:type="dxa" w:w="2160"/>
          </w:tcPr>
          <w:p>
            <w:pPr/>
            <w:r>
              <w:t>—</w:t>
            </w:r>
          </w:p>
        </w:tc>
        <w:tc>
          <w:tcPr>
            <w:tcW w:type="dxa" w:w="2160"/>
          </w:tcPr>
          <w:p>
            <w:pPr/>
            <w:r>
              <w:t>remaining 12 keywords</w:t>
            </w:r>
          </w:p>
        </w:tc>
        <w:tc>
          <w:tcPr>
            <w:tcW w:type="dxa" w:w="2160"/>
          </w:tcPr>
          <w:p>
            <w:pPr/>
            <w:r>
              <w:t>—</w:t>
            </w:r>
          </w:p>
        </w:tc>
        <w:tc>
          <w:tcPr>
            <w:tcW w:type="dxa" w:w="2160"/>
          </w:tcPr>
          <w:p>
            <w:pPr/>
            <w:r>
              <w:t>Step 3 (body, natural integration only — may be left out given Lekce length)</w:t>
            </w:r>
          </w:p>
        </w:tc>
      </w:tr>
    </w:tbl>
    <w:p/>
    <w:p>
      <w:pPr>
        <w:pStyle w:val="Heading2"/>
      </w:pPr>
      <w:r>
        <w:t>Outline</w:t>
      </w:r>
    </w:p>
    <w:p>
      <w:pPr>
        <w:pStyle w:val="Heading1"/>
      </w:pPr>
      <w:r>
        <w:t>Indicators and Oscillators</w:t>
      </w:r>
    </w:p>
    <w:p>
      <w:r/>
      <w:r>
        <w:rPr>
          <w:b/>
        </w:rPr>
        <w:t>Key point:</w:t>
      </w:r>
      <w:r>
        <w:t xml:space="preserve"> Introduce indicators and oscillators as a family of tools, then signpost the five chapters that teach the family member by member.</w:t>
      </w:r>
    </w:p>
    <w:p>
      <w:pPr>
        <w:pStyle w:val="Heading2"/>
      </w:pPr>
      <w:r>
        <w:t>Intro (no heading — opening paragraphs)</w:t>
      </w:r>
    </w:p>
    <w:p>
      <w:r/>
      <w:r>
        <w:rPr>
          <w:b/>
        </w:rPr>
        <w:t>Paragraph 1 (opening, AIO-friendly definition, 40–60 words):</w:t>
      </w:r>
      <w:r/>
    </w:p>
    <w:p>
      <w:r>
        <w:t>Define indicators and oscillators in one sentence. Indicators are mathematical calculations applied to price or volume, displayed either on top of the chart or in a separate window. Oscillators are a subset of indicators that fluctuate within a bounded range, typically used to read momentum and overbought / oversold conditions.</w:t>
      </w:r>
    </w:p>
    <w:p>
      <w:r/>
      <w:r>
        <w:rPr>
          <w:b/>
        </w:rPr>
        <w:t>Paragraph 2 (the visual distinction, 40–60 words):</w:t>
      </w:r>
      <w:r/>
    </w:p>
    <w:p>
      <w:r>
        <w:t>The simplest way traders remember the difference: indicators sit directly on the price chart (moving averages, Bollinger Bands), while oscillators sit below it in their own pane (RSI, MACD, Stochastics). This lesson covers both families in five focused chapters.</w:t>
      </w:r>
    </w:p>
    <w:p>
      <w:pPr>
        <w:pStyle w:val="Heading2"/>
      </w:pPr>
      <w:r>
        <w:t>What You Will Learn in This Lesson</w:t>
      </w:r>
    </w:p>
    <w:p>
      <w:pPr>
        <w:spacing w:before="40"/>
      </w:pPr>
      <w:r>
        <w:rPr>
          <w:b/>
          <w:color w:val="555555"/>
          <w:sz w:val="20"/>
        </w:rPr>
        <w:t xml:space="preserve">Target keyword: </w:t>
      </w:r>
      <w:r>
        <w:rPr>
          <w:i/>
          <w:color w:val="555555"/>
          <w:sz w:val="20"/>
        </w:rPr>
        <w:t>technical indicators</w:t>
      </w:r>
    </w:p>
    <w:p>
      <w:r/>
      <w:r>
        <w:rPr>
          <w:b/>
        </w:rPr>
        <w:t>Lead-in (1 short paragraph, 30–40 words):</w:t>
      </w:r>
      <w:r/>
    </w:p>
    <w:p>
      <w:r>
        <w:t>This lesson is the entry point to indicator-based technical analysis. Each chapter stands alone as a deeper article, and each one focuses on a specific piece of the bigger picture.</w:t>
      </w:r>
    </w:p>
    <w:p>
      <w:r/>
      <w:r>
        <w:rPr>
          <w:b/>
        </w:rPr>
        <w:t>Bullet list — one item per chapter (2.5.1–2.5.5), each 1–2 sentences:</w:t>
      </w:r>
      <w:r/>
    </w:p>
    <w:p>
      <w:pPr>
        <w:pStyle w:val="ListBullet"/>
      </w:pPr>
      <w:r>
        <w:rPr>
          <w:b/>
        </w:rPr>
        <w:t>[Chapter 2.5.1 — Indicator Basics: Period, Source, and Calculation Types](/lesson/indicator-basics-period-source-calculation/)</w:t>
      </w:r>
      <w:r>
        <w:t xml:space="preserve"> — Before you meet any specific indicator, you need the vocabulary. What period means, which price source (open, close, typical) an indicator reads, and how calculation type (simple, exponential, weighted) changes the output. Skipping this chapter is the fastest way to misuse every tool that follows.</w:t>
      </w:r>
    </w:p>
    <w:p>
      <w:pPr>
        <w:pStyle w:val="ListBullet"/>
      </w:pPr>
      <w:r>
        <w:rPr>
          <w:b/>
        </w:rPr>
        <w:t>[Chapter 2.5.2 — Key Technical Indicators](/lesson/key-technical-indicators/)</w:t>
      </w:r>
      <w:r>
        <w:t xml:space="preserve"> — Trend-following tools plotted directly on price: moving averages (SMA, EMA, WMA), ATR, Bollinger Bands, Ichimoku, ADX, and Parabolic SAR. These help you read trend direction, volatility, and the strength of a move.</w:t>
      </w:r>
    </w:p>
    <w:p>
      <w:pPr>
        <w:pStyle w:val="ListBullet"/>
      </w:pPr>
      <w:r>
        <w:rPr>
          <w:b/>
        </w:rPr>
        <w:t>[Chapter 2.5.3 — Oscillators: RSI, Stochastics, MACD](/lesson/oscillators-rsi-stochastics-macd/)</w:t>
      </w:r>
      <w:r>
        <w:t xml:space="preserve"> — Momentum tools plotted in a separate pane below the chart. RSI, MACD, Stochastic, VWAP, CCI, and Keltner Channels. These flag overbought and oversold conditions and signal potential turning points through divergence.</w:t>
      </w:r>
    </w:p>
    <w:p>
      <w:pPr>
        <w:pStyle w:val="ListBullet"/>
      </w:pPr>
      <w:r>
        <w:rPr>
          <w:b/>
        </w:rPr>
        <w:t>[Chapter 2.5.4 — Using Indicators Correctly](/lesson/using-indicators-correctly/)</w:t>
      </w:r>
      <w:r>
        <w:t xml:space="preserve"> — The practical rules most beginner guides skip: combine categories rather than stacking similar tools, confirm signals against price action, and respect context (trending vs ranging markets).</w:t>
      </w:r>
    </w:p>
    <w:p>
      <w:pPr>
        <w:pStyle w:val="ListBullet"/>
      </w:pPr>
      <w:r>
        <w:rPr>
          <w:b/>
        </w:rPr>
        <w:t>[Chapter 2.5.5 — The Risks of Indicators](/lesson/risks-of-indicators/)</w:t>
      </w:r>
      <w:r>
        <w:t xml:space="preserve"> — Indicators are derived from price, which means they lag by design. This chapter covers the cognitive traps (seeing patterns where there are none, over-optimising settings, confirmation bias) that turn helpful tools into expensive ones.</w:t>
      </w:r>
    </w:p>
    <w:p>
      <w:pPr>
        <w:pStyle w:val="Heading2"/>
      </w:pPr>
      <w:r>
        <w:t>Why Indicators and Oscillators Matter for Traders</w:t>
      </w:r>
    </w:p>
    <w:p>
      <w:pPr>
        <w:spacing w:before="40"/>
      </w:pPr>
      <w:r>
        <w:rPr>
          <w:b/>
          <w:color w:val="555555"/>
          <w:sz w:val="20"/>
        </w:rPr>
        <w:t xml:space="preserve">Target keyword: </w:t>
      </w:r>
      <w:r>
        <w:rPr>
          <w:i/>
          <w:color w:val="555555"/>
          <w:sz w:val="20"/>
        </w:rPr>
        <w:t>oscillators in trading</w:t>
      </w:r>
    </w:p>
    <w:p>
      <w:r/>
      <w:r>
        <w:rPr>
          <w:b/>
        </w:rPr>
        <w:t>Paragraph (50–70 words):</w:t>
      </w:r>
      <w:r/>
    </w:p>
    <w:p>
      <w:r>
        <w:t>Reading a raw candlestick chart gives you price. Indicators and oscillators compress that price into a second layer of information: trend direction, momentum, volatility, and exhaustion. Used well, they filter noise and define entries and exits. Used poorly, they produce false confidence and late signals. The difference is understanding what each tool measures and what it cannot see.</w:t>
      </w:r>
    </w:p>
    <w:p>
      <w:r/>
      <w:r>
        <w:rPr>
          <w:b/>
        </w:rPr>
        <w:t>Callout: Keep in Mind (required for TA lessons) — 1 short sentence:</w:t>
      </w:r>
      <w:r/>
    </w:p>
    <w:p>
      <w:r>
        <w:t xml:space="preserve">&gt; </w:t>
      </w:r>
      <w:r>
        <w:rPr>
          <w:b/>
        </w:rPr>
        <w:t>Keep in Mind:</w:t>
      </w:r>
      <w:r>
        <w:t xml:space="preserve"> No indicator predicts the market. They describe what price has already done in a specific mathematical way — the judgment about what happens next is still yours.</w:t>
      </w:r>
    </w:p>
    <w:p>
      <w:pPr>
        <w:pStyle w:val="Heading2"/>
      </w:pPr>
      <w:r>
        <w:t>How to Approach This Lesson</w:t>
      </w:r>
    </w:p>
    <w:p>
      <w:r/>
      <w:r>
        <w:rPr>
          <w:b/>
        </w:rPr>
        <w:t>Paragraph (40–60 words):</w:t>
      </w:r>
      <w:r/>
    </w:p>
    <w:p>
      <w:r>
        <w:t>Read the chapters in order. Chapter 2.5.1 is the foundation — the settings and calculation types show up in every other chapter. After that, each chapter is self-contained, so you can return to individual tools as you need them. Prior exposure to candlestick charts and timeframe selection is assumed.</w:t>
      </w:r>
    </w:p>
    <w:p>
      <w:r/>
      <w:r>
        <w:rPr>
          <w:b/>
        </w:rPr>
        <w:t>Prerequisites (optional bullet list, 2 items):</w:t>
      </w:r>
      <w:r/>
    </w:p>
    <w:p>
      <w:pPr>
        <w:pStyle w:val="ListBullet"/>
      </w:pPr>
      <w:r>
        <w:t>[Charts and timeframes](/lesson/charts-and-timeframes/) — which chart and timeframe you read indicators on changes what they tell you</w:t>
      </w:r>
    </w:p>
    <w:p>
      <w:pPr>
        <w:pStyle w:val="ListBullet"/>
      </w:pPr>
      <w:r>
        <w:t>[Candlestick patterns](/lesson/candlestick-patterns/) — price action is the reference every indicator is measured against</w:t>
      </w:r>
    </w:p>
    <w:p>
      <w:pPr>
        <w:pStyle w:val="Heading2"/>
      </w:pPr>
      <w:r>
        <w:t>Closing (no heading — 1 short paragraph, 30–40 words)</w:t>
      </w:r>
    </w:p>
    <w:p>
      <w:r>
        <w:t>Start with the basics that make every later chapter easier: period, source, and calculation type. That one chapter removes most of the confusion new traders have when they encounter RSI or moving averages for the first time.</w:t>
      </w:r>
    </w:p>
    <w:p>
      <w:r/>
      <w:r>
        <w:rPr>
          <w:b/>
        </w:rPr>
        <w:t>CTA placeholder:</w:t>
      </w:r>
      <w:r/>
    </w:p>
    <w:p>
      <w:r>
        <w:t>[CTA: "Start with Chapter 2.5.1 — Indicator Basics" button linking to /lesson/indicator-basics-period-source-calculation/]</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Chapter 2.5.1 — Indicator Basics</w:t>
            </w:r>
          </w:p>
        </w:tc>
        <w:tc>
          <w:tcPr>
            <w:tcW w:type="dxa" w:w="1728"/>
          </w:tcPr>
          <w:p>
            <w:pPr/>
            <w:r>
              <w:t>Chapter 2.5.1 (future)</w:t>
            </w:r>
          </w:p>
        </w:tc>
        <w:tc>
          <w:tcPr>
            <w:tcW w:type="dxa" w:w="1728"/>
          </w:tcPr>
          <w:p>
            <w:pPr/>
            <w:r>
              <w:t>indicator-basics-period-source-calculation</w:t>
            </w:r>
          </w:p>
        </w:tc>
        <w:tc>
          <w:tcPr>
            <w:tcW w:type="dxa" w:w="1728"/>
          </w:tcPr>
          <w:p>
            <w:pPr/>
            <w:r>
              <w:t>"What you will learn" item 1 + closing CTA</w:t>
            </w:r>
          </w:p>
        </w:tc>
      </w:tr>
      <w:tr>
        <w:tc>
          <w:tcPr>
            <w:tcW w:type="dxa" w:w="1728"/>
          </w:tcPr>
          <w:p>
            <w:pPr/>
            <w:r>
              <w:t>2</w:t>
            </w:r>
          </w:p>
        </w:tc>
        <w:tc>
          <w:tcPr>
            <w:tcW w:type="dxa" w:w="1728"/>
          </w:tcPr>
          <w:p>
            <w:pPr/>
            <w:r>
              <w:t>Chapter 2.5.2 — Key Technical Indicators</w:t>
            </w:r>
          </w:p>
        </w:tc>
        <w:tc>
          <w:tcPr>
            <w:tcW w:type="dxa" w:w="1728"/>
          </w:tcPr>
          <w:p>
            <w:pPr/>
            <w:r>
              <w:t>Chapter 2.5.2 (future)</w:t>
            </w:r>
          </w:p>
        </w:tc>
        <w:tc>
          <w:tcPr>
            <w:tcW w:type="dxa" w:w="1728"/>
          </w:tcPr>
          <w:p>
            <w:pPr/>
            <w:r>
              <w:t>key-technical-indicators</w:t>
            </w:r>
          </w:p>
        </w:tc>
        <w:tc>
          <w:tcPr>
            <w:tcW w:type="dxa" w:w="1728"/>
          </w:tcPr>
          <w:p>
            <w:pPr/>
            <w:r>
              <w:t>"What you will learn" item 2</w:t>
            </w:r>
          </w:p>
        </w:tc>
      </w:tr>
      <w:tr>
        <w:tc>
          <w:tcPr>
            <w:tcW w:type="dxa" w:w="1728"/>
          </w:tcPr>
          <w:p>
            <w:pPr/>
            <w:r>
              <w:t>3</w:t>
            </w:r>
          </w:p>
        </w:tc>
        <w:tc>
          <w:tcPr>
            <w:tcW w:type="dxa" w:w="1728"/>
          </w:tcPr>
          <w:p>
            <w:pPr/>
            <w:r>
              <w:t>Chapter 2.5.3 — Oscillators (RSI, Stochastics, MACD)</w:t>
            </w:r>
          </w:p>
        </w:tc>
        <w:tc>
          <w:tcPr>
            <w:tcW w:type="dxa" w:w="1728"/>
          </w:tcPr>
          <w:p>
            <w:pPr/>
            <w:r>
              <w:t>Chapter 2.5.3 (future)</w:t>
            </w:r>
          </w:p>
        </w:tc>
        <w:tc>
          <w:tcPr>
            <w:tcW w:type="dxa" w:w="1728"/>
          </w:tcPr>
          <w:p>
            <w:pPr/>
            <w:r>
              <w:t>oscillators-rsi-stochastics-macd</w:t>
            </w:r>
          </w:p>
        </w:tc>
        <w:tc>
          <w:tcPr>
            <w:tcW w:type="dxa" w:w="1728"/>
          </w:tcPr>
          <w:p>
            <w:pPr/>
            <w:r>
              <w:t>"What you will learn" item 3</w:t>
            </w:r>
          </w:p>
        </w:tc>
      </w:tr>
      <w:tr>
        <w:tc>
          <w:tcPr>
            <w:tcW w:type="dxa" w:w="1728"/>
          </w:tcPr>
          <w:p>
            <w:pPr/>
            <w:r>
              <w:t>4</w:t>
            </w:r>
          </w:p>
        </w:tc>
        <w:tc>
          <w:tcPr>
            <w:tcW w:type="dxa" w:w="1728"/>
          </w:tcPr>
          <w:p>
            <w:pPr/>
            <w:r>
              <w:t>Chapter 2.5.4 — Using Indicators Correctly</w:t>
            </w:r>
          </w:p>
        </w:tc>
        <w:tc>
          <w:tcPr>
            <w:tcW w:type="dxa" w:w="1728"/>
          </w:tcPr>
          <w:p>
            <w:pPr/>
            <w:r>
              <w:t>Chapter 2.5.4 (future)</w:t>
            </w:r>
          </w:p>
        </w:tc>
        <w:tc>
          <w:tcPr>
            <w:tcW w:type="dxa" w:w="1728"/>
          </w:tcPr>
          <w:p>
            <w:pPr/>
            <w:r>
              <w:t>using-indicators-correctly</w:t>
            </w:r>
          </w:p>
        </w:tc>
        <w:tc>
          <w:tcPr>
            <w:tcW w:type="dxa" w:w="1728"/>
          </w:tcPr>
          <w:p>
            <w:pPr/>
            <w:r>
              <w:t>"What you will learn" item 4</w:t>
            </w:r>
          </w:p>
        </w:tc>
      </w:tr>
      <w:tr>
        <w:tc>
          <w:tcPr>
            <w:tcW w:type="dxa" w:w="1728"/>
          </w:tcPr>
          <w:p>
            <w:pPr/>
            <w:r>
              <w:t>5</w:t>
            </w:r>
          </w:p>
        </w:tc>
        <w:tc>
          <w:tcPr>
            <w:tcW w:type="dxa" w:w="1728"/>
          </w:tcPr>
          <w:p>
            <w:pPr/>
            <w:r>
              <w:t>Chapter 2.5.5 — The Risks of Indicators</w:t>
            </w:r>
          </w:p>
        </w:tc>
        <w:tc>
          <w:tcPr>
            <w:tcW w:type="dxa" w:w="1728"/>
          </w:tcPr>
          <w:p>
            <w:pPr/>
            <w:r>
              <w:t>Chapter 2.5.5 (future)</w:t>
            </w:r>
          </w:p>
        </w:tc>
        <w:tc>
          <w:tcPr>
            <w:tcW w:type="dxa" w:w="1728"/>
          </w:tcPr>
          <w:p>
            <w:pPr/>
            <w:r>
              <w:t>risks-of-indicators</w:t>
            </w:r>
          </w:p>
        </w:tc>
        <w:tc>
          <w:tcPr>
            <w:tcW w:type="dxa" w:w="1728"/>
          </w:tcPr>
          <w:p>
            <w:pPr/>
            <w:r>
              <w:t>"What you will learn" item 5</w:t>
            </w:r>
          </w:p>
        </w:tc>
      </w:tr>
      <w:tr>
        <w:tc>
          <w:tcPr>
            <w:tcW w:type="dxa" w:w="1728"/>
          </w:tcPr>
          <w:p>
            <w:pPr/>
            <w:r>
              <w:t>6</w:t>
            </w:r>
          </w:p>
        </w:tc>
        <w:tc>
          <w:tcPr>
            <w:tcW w:type="dxa" w:w="1728"/>
          </w:tcPr>
          <w:p>
            <w:pPr/>
            <w:r>
              <w:t>Charts and timeframes</w:t>
            </w:r>
          </w:p>
        </w:tc>
        <w:tc>
          <w:tcPr>
            <w:tcW w:type="dxa" w:w="1728"/>
          </w:tcPr>
          <w:p>
            <w:pPr/>
            <w:r>
              <w:t>Prior Part 2 lesson</w:t>
            </w:r>
          </w:p>
        </w:tc>
        <w:tc>
          <w:tcPr>
            <w:tcW w:type="dxa" w:w="1728"/>
          </w:tcPr>
          <w:p>
            <w:pPr/>
            <w:r>
              <w:t>charts-and-timeframes</w:t>
            </w:r>
          </w:p>
        </w:tc>
        <w:tc>
          <w:tcPr>
            <w:tcW w:type="dxa" w:w="1728"/>
          </w:tcPr>
          <w:p>
            <w:pPr/>
            <w:r>
              <w:t>"How to approach" prerequisites</w:t>
            </w:r>
          </w:p>
        </w:tc>
      </w:tr>
      <w:tr>
        <w:tc>
          <w:tcPr>
            <w:tcW w:type="dxa" w:w="1728"/>
          </w:tcPr>
          <w:p>
            <w:pPr/>
            <w:r>
              <w:t>7</w:t>
            </w:r>
          </w:p>
        </w:tc>
        <w:tc>
          <w:tcPr>
            <w:tcW w:type="dxa" w:w="1728"/>
          </w:tcPr>
          <w:p>
            <w:pPr/>
            <w:r>
              <w:t>Candlestick patterns</w:t>
            </w:r>
          </w:p>
        </w:tc>
        <w:tc>
          <w:tcPr>
            <w:tcW w:type="dxa" w:w="1728"/>
          </w:tcPr>
          <w:p>
            <w:pPr/>
            <w:r>
              <w:t>Prior Part 2 lesson</w:t>
            </w:r>
          </w:p>
        </w:tc>
        <w:tc>
          <w:tcPr>
            <w:tcW w:type="dxa" w:w="1728"/>
          </w:tcPr>
          <w:p>
            <w:pPr/>
            <w:r>
              <w:t>candlestick-patterns</w:t>
            </w:r>
          </w:p>
        </w:tc>
        <w:tc>
          <w:tcPr>
            <w:tcW w:type="dxa" w:w="1728"/>
          </w:tcPr>
          <w:p>
            <w:pPr/>
            <w:r>
              <w:t>"How to approach" prerequisites</w:t>
            </w:r>
          </w:p>
        </w:tc>
      </w:tr>
    </w:tbl>
    <w:p/>
    <w:p>
      <w:r>
        <w:t>Total: 7 internal links (5 chapters + 2 prerequisites). Well above the 3–5 minimum.</w:t>
      </w:r>
    </w:p>
    <w:p>
      <w:pPr>
        <w:pStyle w:val="Heading2"/>
      </w:pPr>
      <w:r>
        <w:t>Content Validation</w:t>
      </w:r>
    </w:p>
    <w:p>
      <w:pPr>
        <w:pStyle w:val="ListBullet"/>
      </w:pPr>
      <w:r>
        <w:t>[x] Structure follows the mandatory Lekce skeleton (intro → What you will learn → Why it matters → How to approach → closing CTA)</w:t>
      </w:r>
    </w:p>
    <w:p>
      <w:pPr>
        <w:pStyle w:val="ListBullet"/>
      </w:pPr>
      <w:r>
        <w:t>[x] Every chapter (2.5.1 – 2.5.5) appears as one item in "What you will learn" with 1–2 sentences explaining what + why</w:t>
      </w:r>
    </w:p>
    <w:p>
      <w:pPr>
        <w:pStyle w:val="ListBullet"/>
      </w:pPr>
      <w:r>
        <w:t>[x] No Podtemata (2.5.2.1–2.5.3.5) expanded in this Lekce — correct</w:t>
      </w:r>
    </w:p>
    <w:p>
      <w:pPr>
        <w:pStyle w:val="ListBullet"/>
      </w:pPr>
      <w:r>
        <w:t>[x] BEGINNER classification — assumes candlestick and timeframe knowledge only, defines indicator/oscillator on first use</w:t>
      </w:r>
    </w:p>
    <w:p>
      <w:pPr>
        <w:pStyle w:val="ListBullet"/>
      </w:pPr>
      <w:r>
        <w:t>[x] Word count 450–550 within Lekce target (400–700)</w:t>
      </w:r>
    </w:p>
    <w:p>
      <w:pPr>
        <w:pStyle w:val="ListBullet"/>
      </w:pPr>
      <w:r>
        <w:t>[x] One Keep in Mind callout (required for TA lessons) — no other callouts (Lekce = minimal formatting)</w:t>
      </w:r>
    </w:p>
    <w:p>
      <w:pPr>
        <w:pStyle w:val="ListBullet"/>
      </w:pPr>
      <w:r>
        <w:t>[x] AIO-friendly opening definition in first sentence</w:t>
      </w:r>
    </w:p>
    <w:p>
      <w:pPr>
        <w:pStyle w:val="ListBullet"/>
      </w:pPr>
      <w:r>
        <w:t>[x] Internal links: 7 total (minimum 3–5 exceeded)</w:t>
      </w:r>
    </w:p>
    <w:p>
      <w:pPr>
        <w:pStyle w:val="ListBullet"/>
      </w:pPr>
      <w:r>
        <w:t>[x] No false certainty — indicators framed honestly as descriptive tools, not predictive ones</w:t>
      </w:r>
    </w:p>
    <w:p>
      <w:pPr>
        <w:pStyle w:val="ListBullet"/>
      </w:pPr>
      <w:r>
        <w:t>[x] Minimal FTMO branding — generic trading education framing</w:t>
      </w:r>
    </w:p>
    <w:p>
      <w: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