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Стаття 3: план написання і програма досліджень</w:t>
      </w:r>
    </w:p>
    <w:p>
      <w:pPr>
        <w:spacing w:after="120"/>
      </w:pPr>
      <w:r>
        <w:t xml:space="preserve">DQN-оптимізація ефективності та надійності лінії виробництва агродронів. Цільовий журнал: MDPI Machines (Q2). Робоча версія від 07.10.2026.</w:t>
      </w:r>
    </w:p>
    <w:p>
      <w:pPr>
        <w:spacing w:after="200"/>
      </w:pPr>
      <w:r>
        <w:rPr>
          <w:b/>
          <w:bCs/>
        </w:rPr>
        <w:t xml:space="preserve">Робоча назва: </w:t>
      </w:r>
      <w:r>
        <w:rPr>
          <w:i/>
          <w:iCs/>
        </w:rPr>
        <w:t xml:space="preserve">Deep Reinforcement Learning for Condition-Based Maintenance in a Heterogeneous Agrodrone Production Line: A Design-Stage Simulation Study</w:t>
      </w:r>
    </w:p>
    <w:p>
      <w:pPr>
        <w:pStyle w:val="Heading1"/>
        <w:spacing w:after="160" w:before="300"/>
      </w:pPr>
      <w:r>
        <w:t xml:space="preserve">1. Що стаття доводить</w:t>
      </w:r>
    </w:p>
    <w:p>
      <w:pPr>
        <w:pStyle w:val="Heading2"/>
        <w:spacing w:after="120" w:before="220"/>
      </w:pPr>
      <w:r>
        <w:t xml:space="preserve">Дослідницькі питання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RQ1.</w:t>
      </w:r>
      <w:r>
        <w:t xml:space="preserve"> Чи перевершує DQN-політика класичні стратегії ТО за OEE, випуском і MTBF на неоднорідній лінії з матеріальним потоком?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RQ2.</w:t>
      </w:r>
      <w:r>
        <w:t xml:space="preserve"> Від яких безрозмірних характеристик задачі залежить виграш? Це параметр форми β, відношення тривалості ТО до тривалості ремонту і швидкість деградації якості.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RQ3.</w:t>
      </w:r>
      <w:r>
        <w:t xml:space="preserve"> Чи переноситься політика на набори параметрів, яких агент не бачив під час навчання?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RQ4.</w:t>
      </w:r>
      <w:r>
        <w:t xml:space="preserve"> Чому саме агент навчився: що він робить інакше, ніж класичні правила?</w:t>
      </w:r>
    </w:p>
    <w:p>
      <w:pPr>
        <w:pStyle w:val="Heading2"/>
        <w:spacing w:after="120" w:before="220"/>
      </w:pPr>
      <w:r>
        <w:t xml:space="preserve">Ключова гіпотеза про механізм</w:t>
      </w:r>
    </w:p>
    <w:p>
      <w:pPr>
        <w:spacing w:after="120"/>
      </w:pPr>
      <w:r>
        <w:t xml:space="preserve">Вузли лінії значну частину часу стоять у WAITING_FOR_RESOURCE. Якщо проводити ТО саме в цей час, воно майже нічого не коштує, бо вузол усе одно простоює. Класичні стратегії (за календарем чи за віком) цього не враховують, а агент, який бачить стан складу, може навчитися так робити. Тобто очікуваний виграш DQN походить від координації ТО з матеріальним потоком, а не від кращого вгадування моменту відмови. Це і є головна новизна статті, і саме її треба експериментально підтвердити.</w:t>
      </w:r>
    </w:p>
    <w:p>
      <w:pPr>
        <w:pStyle w:val="Heading2"/>
        <w:spacing w:after="120" w:before="220"/>
      </w:pPr>
      <w:r>
        <w:t xml:space="preserve">Внесок статті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Розширена модель лінії, в якій старіння за Вейбуллом, недосконале ТО і деградація якості та швидкості причинно впливають на всі три складові OEE.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Постановка задачі як напівмарковського процесу рішень (SMDP): рішення лише в моменти подій, стан агента детермінований і розраховується з параметрів розподілів.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Чесне порівняння з налаштованими класичними стратегіями ТО, аналіз чутливості в безрозмірних відношеннях і перевірка узагальнення.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Відкритий відтворюваний код (репозиторій, тег, Zenodo) з журналом подій.</w:t>
      </w:r>
    </w:p>
    <w:p>
      <w:pPr>
        <w:pStyle w:val="Heading1"/>
        <w:spacing w:after="160" w:before="300"/>
      </w:pPr>
      <w:r>
        <w:t xml:space="preserve">2. Структура статті і що в кожен розділ подає дані</w:t>
      </w:r>
    </w:p>
    <w:p>
      <w:pPr>
        <w:pStyle w:val="Heading2"/>
        <w:spacing w:after="120" w:before="220"/>
      </w:pPr>
      <w:r>
        <w:t xml:space="preserve">1. Introduction</w:t>
      </w:r>
    </w:p>
    <w:p>
      <w:pPr>
        <w:spacing w:after="120"/>
      </w:pPr>
      <w:r>
        <w:t xml:space="preserve">Контекст: лінія агродронів на етапі проєктування, ТО як джерело втрат OEE. Прогалина в літературі, RQ і внесок. Коротке посилання на Статті 1 і 2 як частини серії.</w:t>
      </w:r>
    </w:p>
    <w:p>
      <w:pPr>
        <w:pStyle w:val="Heading2"/>
        <w:spacing w:after="120" w:before="220"/>
      </w:pPr>
      <w:r>
        <w:t xml:space="preserve">2. Related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класична оптимізація ТО: заміна за віком (age replacement), модель Barlow–Proschan, недосконале ТО за Kijima, опортуністичне ТО;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навчання з підкріпленням для ТО (DQN, PPO, багатокомпонентні системи);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симуляційні моделі на етапі проєктування.</w:t>
      </w:r>
    </w:p>
    <w:p>
      <w:pPr>
        <w:spacing w:after="120"/>
      </w:pPr>
      <w:r>
        <w:t xml:space="preserve">Усі джерела перевіряємо за першоджерелами, препринтів без рецензування не беремо.</w:t>
      </w:r>
    </w:p>
    <w:p>
      <w:pPr>
        <w:pStyle w:val="Heading2"/>
        <w:spacing w:after="120" w:before="220"/>
      </w:pPr>
      <w:r>
        <w:t xml:space="preserve">3. Materials and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3.1. Модель лінії:</w:t>
      </w:r>
      <w:r>
        <w:t xml:space="preserve"> 26 вузлів, BOM, правило диспетчеризації D17. Стисло, з посиланням на Статтю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3.2. Модель надійності й деградації v0.3:</w:t>
      </w:r>
      <w:r>
        <w:t xml:space="preserve"> Вейбулл, Kijima, залежність браку і швидкості від віку вузла.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3.3. Параметризація за класами обладнання:</w:t>
      </w:r>
      <w:r>
        <w:t xml:space="preserve"> таблиця з джерелами для кожного рядка, безрозмірні відношення.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3.4. Постановка SMDP:</w:t>
      </w:r>
      <w:r>
        <w:t xml:space="preserve"> моменти рішень, стан, дії (зокрема ТО під час очікування ресурсу), винагорода.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3.5. Агент:</w:t>
      </w:r>
      <w:r>
        <w:t xml:space="preserve"> Double Dueling DQN + PER, гіперпараметри і бюджет їх підбору.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3.6. Бейслайни: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без ТО;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фіксований T_pm;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ТО за віком вузла;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ТО за порогом інтенсивності відмов h(t);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опортуністичне правило: ТО, якщо вузол чекає ресурс і його вік більший за x. Цей бейслайн обов'язковий, щоб перевірити, чи DQN робить щось більше, ніж просте правило з тією самою ідеєю;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випадкова політика.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3.7. Дизайн експерименту: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seed розділено на навчальні і тестові;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мінімум 3 seed агента і N = 20 seed оцінювання;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метрики: OEE = A × P × Q, MTBF, випуск і makespan, кількість ТО і ремонтів;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статистика: тести Уелча і Манна–Вітні, поправка Холма, довірчі інтервали, розміри ефектів.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3.8. Відтворюваність:</w:t>
      </w:r>
      <w:r>
        <w:t xml:space="preserve"> тег у репозиторії, Zenodo, журнал подій.</w:t>
      </w:r>
    </w:p>
    <w:p>
      <w:pPr>
        <w:pStyle w:val="Heading2"/>
        <w:spacing w:after="120" w:before="220"/>
      </w:pPr>
      <w:r>
        <w:t xml:space="preserve">4.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4.1. Верифікація моделі:</w:t>
      </w:r>
      <w:r>
        <w:t xml:space="preserve"> результати перевірок з фаз 0–1 (розділ 3 цього документа).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4.2. Збіжність навчання:</w:t>
      </w:r>
      <w:r>
        <w:t xml:space="preserve"> криві для 3 seed агента.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4.3. Основне порівняння</w:t>
      </w:r>
      <w:r>
        <w:t xml:space="preserve"> з бейслайнами: таблиця і boxplot.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4.4. Чутливість:</w:t>
      </w:r>
      <w:r>
        <w:t xml:space="preserve"> теплова карта виграшу в осях β і відношення ТО/ремонт.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4.5. Узагальнення</w:t>
      </w:r>
      <w:r>
        <w:t xml:space="preserve"> на наборах параметрів, яких агент не бачив.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4.6. Аналіз політики: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вік вузла в момент ТО за класами вузлів, порівняно з аналітичним оптимумом;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частка ТО, проведених під час очікування ресурсу;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фрагмент діаграми Ганта.</w:t>
      </w:r>
    </w:p>
    <w:p>
      <w:pPr>
        <w:pStyle w:val="Heading2"/>
        <w:spacing w:after="120" w:before="220"/>
      </w:pPr>
      <w:r>
        <w:t xml:space="preserve">5. Discussion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як RQ підтвердились або ні;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зв'язок з нульовим ефектом T_pm у Статті 1: експоненційні відмови роблять профілактику марною;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практичне значення для етапу проєктування;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Limitations: параметри не калібровані на реальній лінії, диспетчеризація фіксована, транспорт не моделюється.</w:t>
      </w:r>
    </w:p>
    <w:p>
      <w:pPr>
        <w:pStyle w:val="Heading2"/>
        <w:spacing w:after="120" w:before="220"/>
      </w:pPr>
      <w:r>
        <w:t xml:space="preserve">6. Conclusions</w:t>
      </w:r>
    </w:p>
    <w:p>
      <w:pPr>
        <w:pStyle w:val="Heading2"/>
        <w:spacing w:after="120" w:before="220"/>
      </w:pPr>
      <w:r>
        <w:t xml:space="preserve">Чернетка рисунків і таблиць</w:t>
      </w:r>
    </w:p>
    <w:p>
      <w:pPr>
        <w:spacing w:after="120"/>
      </w:pPr>
      <w:r>
        <w:t xml:space="preserve">Порядок закріпимо у FIGURE_MANIFEST.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426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Рисунок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Таблиця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Схема підходу: модель, SMDP, агент, бейслайни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Класи обладнання і параметри з джерелами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Структура лінії з класами вузлів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Специфікація SMDP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Криві інтенсивності відмов h(t) за класами, ефект ТО за Kijima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Гіперпараметри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Криві навчання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Основні результати зі статистикою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Boxplot OEE і випуску проти бейслайнів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Узагальнення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Теплова карта чутливості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Вік у момент ТО проти аналітичного оптимуму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Фрагмент Ганта: DQN проти найкращого бейслайну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t xml:space="preserve">3. Програма робіт і перевірки</w:t>
      </w:r>
    </w:p>
    <w:p>
      <w:pPr>
        <w:spacing w:after="120"/>
      </w:pPr>
      <w:r>
        <w:t xml:space="preserve">Кожна фаза закінчується контрольною перевіркою. Поки перевірка не пройдена, далі не йдемо.</w:t>
      </w:r>
    </w:p>
    <w:p>
      <w:pPr>
        <w:pStyle w:val="Heading2"/>
        <w:spacing w:after="120" w:before="220"/>
      </w:pPr>
      <w:r>
        <w:t xml:space="preserve">Фаза 0. Інфраструктура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Форк репозиторію від тегу v0.2-throttle-fix, нова гілка під Статтю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Журнал подій JSONL.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Профілювання швидкості симуляції. Зараз близько 90 с на репліку, а для DQN і аналізу чутливості цього може не вистачити. Це головний ризик проєкту.</w:t>
      </w:r>
    </w:p>
    <w:p>
      <w:pPr>
        <w:pBdr>
          <w:left w:val="single" w:color="2E75B6" w:sz="12" w:space="8"/>
        </w:pBdr>
        <w:spacing w:after="160" w:before="80"/>
        <w:ind w:left="360"/>
      </w:pPr>
      <w:r>
        <w:rPr>
          <w:b/>
          <w:bCs/>
          <w:color w:val="2E75B6"/>
        </w:rPr>
        <w:t xml:space="preserve">Перевірка: </w:t>
      </w:r>
      <w:r>
        <w:t xml:space="preserve">метрики, пораховані з журналу, збігаються з метриками, порахованими під час прогону. Окремий прогін з ввімкненим журналом не змінює результатів на тих самих seed.</w:t>
      </w:r>
    </w:p>
    <w:p>
      <w:pPr>
        <w:pStyle w:val="Heading2"/>
        <w:spacing w:after="120" w:before="220"/>
      </w:pPr>
      <w:r>
        <w:t xml:space="preserve">Фаза 1. Модель v0.3</w:t>
      </w:r>
    </w:p>
    <w:p>
      <w:pPr>
        <w:spacing w:after="120"/>
      </w:pPr>
      <w:r>
        <w:t xml:space="preserve">Вейбулл, Kijima, вплив віку на брак і швидкість, формула OEE.</w:t>
      </w:r>
    </w:p>
    <w:p>
      <w:pPr>
        <w:spacing w:after="80"/>
      </w:pPr>
      <w:r>
        <w:rPr>
          <w:b/>
          <w:bCs/>
          <w:color w:val="2E75B6"/>
        </w:rPr>
        <w:t xml:space="preserve">Перевірки: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(a) емпіричний MTBF кожного вузла відповідає η·Γ(1 + 1/β) у межах довірчого інтервалу;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(b) при β = 1 профілактика не дає виграшу, тобто повторюється результат Статті 1;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(c) для одного ізольованого вузла оптимальний T_pm, знайдений перебором у симуляції, збігається з аналітичним оптимумом заміни за віком;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(d) складові OEE коректні і узгоджуються з журналом.</w:t>
      </w:r>
    </w:p>
    <w:p>
      <w:pPr>
        <w:pStyle w:val="Heading2"/>
        <w:spacing w:after="120" w:before="220"/>
      </w:pPr>
      <w:r>
        <w:t xml:space="preserve">Фаза 2. Параметризація</w:t>
      </w:r>
    </w:p>
    <w:p>
      <w:pPr>
        <w:spacing w:after="120"/>
      </w:pPr>
      <w:r>
        <w:t xml:space="preserve">Пошук джерел для кожного класу обладнання, перевірка за першоджерелами, визначення сітки сценаріїв.</w:t>
      </w:r>
    </w:p>
    <w:p>
      <w:pPr>
        <w:pBdr>
          <w:left w:val="single" w:color="2E75B6" w:sz="12" w:space="8"/>
        </w:pBdr>
        <w:spacing w:after="160" w:before="80"/>
        <w:ind w:left="360"/>
      </w:pPr>
      <w:r>
        <w:rPr>
          <w:b/>
          <w:bCs/>
          <w:color w:val="2E75B6"/>
        </w:rPr>
        <w:t xml:space="preserve">Перевірка: </w:t>
      </w:r>
      <w:r>
        <w:t xml:space="preserve">кожне число в таблиці має джерело або явну позначку «припущення» з діапазоном для аналізу чутливості.</w:t>
      </w:r>
    </w:p>
    <w:p>
      <w:pPr>
        <w:pStyle w:val="Heading2"/>
        <w:spacing w:after="120" w:before="220"/>
      </w:pPr>
      <w:r>
        <w:t xml:space="preserve">Фаза 3. Бейслайни</w:t>
      </w:r>
    </w:p>
    <w:p>
      <w:pPr>
        <w:spacing w:after="120"/>
      </w:pPr>
      <w:r>
        <w:t xml:space="preserve">Прогони на v0.3. Параметри бейслайнів (найкращий T_pm, поріг віку, поріг h(t), x для опортуністичного правила) налаштовуються на навчальних seed, а оцінюються на тестових. Бюджет налаштування в бейслайнів такий самий, як у DQN.</w:t>
      </w:r>
    </w:p>
    <w:p>
      <w:pPr>
        <w:pBdr>
          <w:left w:val="single" w:color="2E75B6" w:sz="12" w:space="8"/>
        </w:pBdr>
        <w:spacing w:after="160" w:before="80"/>
        <w:ind w:left="360"/>
      </w:pPr>
      <w:r>
        <w:rPr>
          <w:b/>
          <w:bCs/>
          <w:color w:val="2E75B6"/>
        </w:rPr>
        <w:t xml:space="preserve">Перевірка: </w:t>
      </w:r>
      <w:r>
        <w:t xml:space="preserve">бейслайни налаштовані чесно, результати стабільні на N = 20.</w:t>
      </w:r>
    </w:p>
    <w:p>
      <w:pPr>
        <w:pStyle w:val="Heading2"/>
        <w:spacing w:after="120" w:before="220"/>
      </w:pPr>
      <w:r>
        <w:t xml:space="preserve">Фаза 4. DQN</w:t>
      </w:r>
    </w:p>
    <w:p>
      <w:pPr>
        <w:spacing w:after="120"/>
      </w:pPr>
      <w:r>
        <w:t xml:space="preserve">Середовище з рішеннями в моменти подій. Агент вбудовується лише в точку рішення, FSM вузла не копіюється.</w:t>
      </w:r>
    </w:p>
    <w:p>
      <w:pPr>
        <w:spacing w:after="80"/>
      </w:pPr>
      <w:r>
        <w:rPr>
          <w:b/>
          <w:bCs/>
          <w:color w:val="2E75B6"/>
        </w:rPr>
        <w:t xml:space="preserve">Перевірки: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 одному вузлі DQN знаходить аналітичний оптимум заміни за віком. Це найсильніша перевірка того, що агент вчиться суті задачі;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лише після цього навчання на всій лінії, 3 і більше seed агента.</w:t>
      </w:r>
    </w:p>
    <w:p>
      <w:pPr>
        <w:pStyle w:val="Heading2"/>
        <w:spacing w:after="120" w:before="220"/>
      </w:pPr>
      <w:r>
        <w:t xml:space="preserve">Фаза 5. Оцінювання</w:t>
      </w:r>
    </w:p>
    <w:p>
      <w:pPr>
        <w:spacing w:after="120"/>
      </w:pPr>
      <w:r>
        <w:t xml:space="preserve">Основне порівняння, сітка чутливості, узагальнення, аналіз політики.</w:t>
      </w:r>
    </w:p>
    <w:p>
      <w:pPr>
        <w:pBdr>
          <w:left w:val="single" w:color="2E75B6" w:sz="12" w:space="8"/>
        </w:pBdr>
        <w:spacing w:after="160" w:before="80"/>
        <w:ind w:left="360"/>
      </w:pPr>
      <w:r>
        <w:rPr>
          <w:b/>
          <w:bCs/>
          <w:color w:val="2E75B6"/>
        </w:rPr>
        <w:t xml:space="preserve">Перевірка: </w:t>
      </w:r>
      <w:r>
        <w:t xml:space="preserve">кожне число в тексті звіряється арифметично і з логами, у runs_index записані run_id, тег, seed і параметри.</w:t>
      </w:r>
    </w:p>
    <w:p>
      <w:pPr>
        <w:pStyle w:val="Heading2"/>
        <w:spacing w:after="120" w:before="220"/>
      </w:pPr>
      <w:r>
        <w:t xml:space="preserve">Фаза 6. Рисунки і текст</w:t>
      </w:r>
    </w:p>
    <w:p>
      <w:pPr>
        <w:spacing w:after="120"/>
      </w:pPr>
      <w:r>
        <w:t xml:space="preserve">Рисунки будуються лише з логів. Текст пишемо англійською і лише після того, як усі результати заморожено. Літературу ще раз звіряємо: DOI, автори.</w:t>
      </w:r>
    </w:p>
    <w:p>
      <w:pPr>
        <w:pStyle w:val="Heading1"/>
        <w:spacing w:after="160" w:before="300"/>
      </w:pPr>
      <w:r>
        <w:t xml:space="preserve">4. Ризики і план 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DQN не обіграє налаштоване опортуністичне правило.</w:t>
      </w:r>
      <w:r>
        <w:t xml:space="preserve"> Тоді результат звучить так: «просте правило, отримане з аналізу DQN-політики, майже оптимальне». Це теж публікабельно, якщо подати чесно. Але таку можливість треба тримати в голові заздалегідь, а не підганяти висновки потім.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Швидкість симуляції.</w:t>
      </w:r>
      <w:r>
        <w:t xml:space="preserve"> Якщо профілювання не дасть суттєвого прискорення, скорочуємо сітку чутливості і пріоритезуємо основне порівняння.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Розбіжність з дисертацією.</w:t>
      </w:r>
      <w:r>
        <w:t xml:space="preserve"> Розділ 4.4 дисертації треба буде переписати на нові результати, бо зараз він описує код, якого так не було запущено. Це варто зробити паралельно зі статтею.</w:t>
      </w:r>
    </w:p>
    <w:p>
      <w:pPr>
        <w:pStyle w:val="Heading1"/>
        <w:spacing w:after="160" w:before="300"/>
      </w:pPr>
      <w:r>
        <w:t xml:space="preserve">5. Відкриті питання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Чи є дедлайн для подання статті?</w:t>
      </w:r>
    </w:p>
    <w:sectPr>
      <w:footerReference w:type="default" r:id="rId7"/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Стаття 3: план</dc:title>
  <dc:creator>Ковальов С. Г.</dc:creator>
  <cp:lastModifiedBy>Un-named</cp:lastModifiedBy>
  <cp:revision>1</cp:revision>
  <dcterms:created xsi:type="dcterms:W3CDTF">2026-10-07T18:23:04.183Z</dcterms:created>
  <dcterms:modified xsi:type="dcterms:W3CDTF">2026-10-07T18:23:04.192Z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