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4A1B4" w14:textId="1D8E3295" w:rsidR="00A90FA9" w:rsidRDefault="00A90FA9" w:rsidP="00A90FA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Культурный духовно-просветительский центр «КОВЧЕГ»</w:t>
      </w:r>
    </w:p>
    <w:p w14:paraId="2A42A448" w14:textId="4D2AF298" w:rsidR="00A90FA9" w:rsidRDefault="00A90FA9" w:rsidP="00A90FA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БОЛЬШОЙ КОНЦЕРТНЫЙ ЗАЛ: </w:t>
      </w:r>
      <w:r w:rsidRPr="00A90FA9">
        <w:rPr>
          <w:rFonts w:ascii="Arial" w:hAnsi="Arial" w:cs="Arial"/>
          <w:b/>
          <w:bCs/>
        </w:rPr>
        <w:t>ТЕХНИЧЕСКИЙ ПАСПОРТ ЗАЛА</w:t>
      </w:r>
    </w:p>
    <w:p w14:paraId="412380A5" w14:textId="77777777" w:rsidR="00A90FA9" w:rsidRDefault="00A90FA9" w:rsidP="00A90FA9">
      <w:pPr>
        <w:jc w:val="center"/>
        <w:rPr>
          <w:rFonts w:ascii="Arial" w:hAnsi="Arial" w:cs="Arial"/>
          <w:b/>
          <w:bCs/>
        </w:rPr>
      </w:pPr>
    </w:p>
    <w:p w14:paraId="4F1E076E" w14:textId="1C569875" w:rsidR="00A90FA9" w:rsidRPr="00A90FA9" w:rsidRDefault="00A90FA9" w:rsidP="00A90FA9">
      <w:pPr>
        <w:jc w:val="center"/>
        <w:rPr>
          <w:rFonts w:ascii="Arial" w:hAnsi="Arial" w:cs="Arial"/>
        </w:rPr>
      </w:pPr>
      <w:r w:rsidRPr="00A90FA9">
        <w:rPr>
          <w:rFonts w:ascii="Arial" w:hAnsi="Arial" w:cs="Arial"/>
          <w:b/>
          <w:bCs/>
        </w:rPr>
        <w:t>Раздел 1. Общее описание зала</w:t>
      </w:r>
    </w:p>
    <w:p w14:paraId="4E0FDA35" w14:textId="77777777" w:rsidR="00A90FA9" w:rsidRPr="00A90FA9" w:rsidRDefault="00A90FA9" w:rsidP="00A90FA9">
      <w:pPr>
        <w:rPr>
          <w:rFonts w:ascii="Arial" w:hAnsi="Arial" w:cs="Arial"/>
        </w:rPr>
      </w:pPr>
      <w:r w:rsidRPr="00A90FA9">
        <w:rPr>
          <w:rFonts w:ascii="Arial" w:hAnsi="Arial" w:cs="Arial"/>
          <w:b/>
          <w:bCs/>
        </w:rPr>
        <w:t>1.1. Зрительный зал</w:t>
      </w:r>
      <w:r w:rsidRPr="00A90FA9">
        <w:rPr>
          <w:rFonts w:ascii="Arial" w:hAnsi="Arial" w:cs="Arial"/>
        </w:rPr>
        <w:br/>
        <w:t>Вместимость: 500 мест (495 кресел).</w:t>
      </w:r>
      <w:r w:rsidRPr="00A90FA9">
        <w:rPr>
          <w:rFonts w:ascii="Arial" w:hAnsi="Arial" w:cs="Arial"/>
        </w:rPr>
        <w:br/>
        <w:t>Ширина: 22,7 м.</w:t>
      </w:r>
      <w:r w:rsidRPr="00A90FA9">
        <w:rPr>
          <w:rFonts w:ascii="Arial" w:hAnsi="Arial" w:cs="Arial"/>
        </w:rPr>
        <w:br/>
        <w:t>Глубина (до авансцены): 19,3 м.</w:t>
      </w:r>
      <w:r w:rsidRPr="00A90FA9">
        <w:rPr>
          <w:rFonts w:ascii="Arial" w:hAnsi="Arial" w:cs="Arial"/>
        </w:rPr>
        <w:br/>
        <w:t>Высота (в центральной части): 9,7 м.</w:t>
      </w:r>
      <w:r w:rsidRPr="00A90FA9">
        <w:rPr>
          <w:rFonts w:ascii="Arial" w:hAnsi="Arial" w:cs="Arial"/>
        </w:rPr>
        <w:br/>
        <w:t>Высота (в верхней части): 4 м.</w:t>
      </w:r>
    </w:p>
    <w:p w14:paraId="5132F586" w14:textId="21C965C7" w:rsidR="00A90FA9" w:rsidRPr="00A90FA9" w:rsidRDefault="00A90FA9" w:rsidP="00A90FA9">
      <w:pPr>
        <w:rPr>
          <w:rFonts w:ascii="Arial" w:hAnsi="Arial" w:cs="Arial"/>
        </w:rPr>
      </w:pPr>
      <w:r w:rsidRPr="00A90FA9">
        <w:rPr>
          <w:rFonts w:ascii="Arial" w:hAnsi="Arial" w:cs="Arial"/>
          <w:b/>
          <w:bCs/>
        </w:rPr>
        <w:t>1.2. Сцена (основные размеры)</w:t>
      </w:r>
      <w:r w:rsidRPr="00A90FA9">
        <w:rPr>
          <w:rFonts w:ascii="Arial" w:hAnsi="Arial" w:cs="Arial"/>
        </w:rPr>
        <w:br/>
        <w:t>Ширина сцены: 23,2 м.</w:t>
      </w:r>
      <w:r w:rsidRPr="00A90FA9">
        <w:rPr>
          <w:rFonts w:ascii="Arial" w:hAnsi="Arial" w:cs="Arial"/>
        </w:rPr>
        <w:br/>
        <w:t>Глубина сцены: 10 м</w:t>
      </w:r>
      <w:r w:rsidR="009C729A">
        <w:rPr>
          <w:rFonts w:ascii="Arial" w:hAnsi="Arial" w:cs="Arial"/>
        </w:rPr>
        <w:t xml:space="preserve"> в центре эстрады (9 м от стен портала)</w:t>
      </w:r>
      <w:r w:rsidRPr="00A90FA9">
        <w:rPr>
          <w:rFonts w:ascii="Arial" w:hAnsi="Arial" w:cs="Arial"/>
        </w:rPr>
        <w:t>.</w:t>
      </w:r>
      <w:r w:rsidRPr="00A90FA9">
        <w:rPr>
          <w:rFonts w:ascii="Arial" w:hAnsi="Arial" w:cs="Arial"/>
        </w:rPr>
        <w:br/>
        <w:t>Ширина портала: 15,8 м.</w:t>
      </w:r>
      <w:r w:rsidRPr="00A90FA9">
        <w:rPr>
          <w:rFonts w:ascii="Arial" w:hAnsi="Arial" w:cs="Arial"/>
        </w:rPr>
        <w:br/>
        <w:t>Высота портала: 6,3 м (5,8 м с опущенным арлекином).</w:t>
      </w:r>
      <w:r w:rsidRPr="00A90FA9">
        <w:rPr>
          <w:rFonts w:ascii="Arial" w:hAnsi="Arial" w:cs="Arial"/>
        </w:rPr>
        <w:br/>
        <w:t>Раскрытие занавеса: 13,4 м.</w:t>
      </w:r>
      <w:r w:rsidRPr="00A90FA9">
        <w:rPr>
          <w:rFonts w:ascii="Arial" w:hAnsi="Arial" w:cs="Arial"/>
        </w:rPr>
        <w:br/>
        <w:t>Ширина зеркала сцены: 12,4–14,4 м (регулируется масками портальных башен).</w:t>
      </w:r>
      <w:r w:rsidRPr="00A90FA9">
        <w:rPr>
          <w:rFonts w:ascii="Arial" w:hAnsi="Arial" w:cs="Arial"/>
        </w:rPr>
        <w:br/>
        <w:t>Ширина между центральными кулисами: 13,6 м.</w:t>
      </w:r>
    </w:p>
    <w:p w14:paraId="2358FD0F" w14:textId="77777777" w:rsidR="009C729A" w:rsidRDefault="00A90FA9" w:rsidP="00A90FA9">
      <w:pPr>
        <w:rPr>
          <w:rFonts w:ascii="Arial" w:hAnsi="Arial" w:cs="Arial"/>
        </w:rPr>
      </w:pPr>
      <w:r w:rsidRPr="00A90FA9">
        <w:rPr>
          <w:rFonts w:ascii="Arial" w:hAnsi="Arial" w:cs="Arial"/>
          <w:b/>
          <w:bCs/>
        </w:rPr>
        <w:t>1.3. Особенности планировки</w:t>
      </w:r>
      <w:r w:rsidRPr="00A90FA9">
        <w:rPr>
          <w:rFonts w:ascii="Arial" w:hAnsi="Arial" w:cs="Arial"/>
        </w:rPr>
        <w:br/>
        <w:t>— За светодиодным экраном возможен проход по световым дорожкам.</w:t>
      </w:r>
      <w:r w:rsidRPr="00A90FA9">
        <w:rPr>
          <w:rFonts w:ascii="Arial" w:hAnsi="Arial" w:cs="Arial"/>
        </w:rPr>
        <w:br/>
        <w:t>— Два выхода на сцену с возможностью кругового обхода.</w:t>
      </w:r>
      <w:r w:rsidRPr="00A90FA9">
        <w:rPr>
          <w:rFonts w:ascii="Arial" w:hAnsi="Arial" w:cs="Arial"/>
        </w:rPr>
        <w:br/>
        <w:t xml:space="preserve">— Ступеньки выхода </w:t>
      </w:r>
      <w:r w:rsidR="009C729A">
        <w:rPr>
          <w:rFonts w:ascii="Arial" w:hAnsi="Arial" w:cs="Arial"/>
        </w:rPr>
        <w:t xml:space="preserve">в зал </w:t>
      </w:r>
      <w:r w:rsidRPr="00A90FA9">
        <w:rPr>
          <w:rFonts w:ascii="Arial" w:hAnsi="Arial" w:cs="Arial"/>
        </w:rPr>
        <w:t>расположены у портальных стен.</w:t>
      </w:r>
      <w:r w:rsidRPr="00A90FA9">
        <w:rPr>
          <w:rFonts w:ascii="Arial" w:hAnsi="Arial" w:cs="Arial"/>
        </w:rPr>
        <w:br/>
        <w:t>— Микрофонные комнаты расположены за портальными стенами.</w:t>
      </w:r>
    </w:p>
    <w:p w14:paraId="2F934897" w14:textId="4E41B2EC" w:rsidR="00A90FA9" w:rsidRPr="00A90FA9" w:rsidRDefault="00A90FA9" w:rsidP="00A90FA9">
      <w:pPr>
        <w:rPr>
          <w:rFonts w:ascii="Arial" w:hAnsi="Arial" w:cs="Arial"/>
        </w:rPr>
      </w:pPr>
      <w:r w:rsidRPr="00A90FA9">
        <w:rPr>
          <w:rFonts w:ascii="Arial" w:hAnsi="Arial" w:cs="Arial"/>
          <w:b/>
          <w:bCs/>
        </w:rPr>
        <w:t>1.4. Одежда сцены</w:t>
      </w:r>
      <w:r w:rsidR="009C729A">
        <w:rPr>
          <w:rFonts w:ascii="Arial" w:hAnsi="Arial" w:cs="Arial"/>
          <w:b/>
          <w:bCs/>
        </w:rPr>
        <w:br/>
      </w:r>
      <w:r w:rsidRPr="00A90FA9">
        <w:rPr>
          <w:rFonts w:ascii="Arial" w:hAnsi="Arial" w:cs="Arial"/>
          <w:b/>
          <w:bCs/>
        </w:rPr>
        <w:t>Базовый комплект (черный кабинет):</w:t>
      </w:r>
      <w:r w:rsidRPr="00A90FA9">
        <w:rPr>
          <w:rFonts w:ascii="Arial" w:hAnsi="Arial" w:cs="Arial"/>
        </w:rPr>
        <w:br/>
        <w:t>— Арлекин: 19,0 × 2,5 м (1 шт.).</w:t>
      </w:r>
      <w:r w:rsidRPr="00A90FA9">
        <w:rPr>
          <w:rFonts w:ascii="Arial" w:hAnsi="Arial" w:cs="Arial"/>
        </w:rPr>
        <w:br/>
        <w:t>— Антрактно-раздвижной занавес (АРЗ): 10,0 × 6,7 м (2 шт.).</w:t>
      </w:r>
      <w:r w:rsidRPr="00A90FA9">
        <w:rPr>
          <w:rFonts w:ascii="Arial" w:hAnsi="Arial" w:cs="Arial"/>
        </w:rPr>
        <w:br/>
        <w:t>— Предэкранный занавес (ПЭЗ): 9,5 × 6,7 м (2 шт.).</w:t>
      </w:r>
      <w:r w:rsidRPr="00A90FA9">
        <w:rPr>
          <w:rFonts w:ascii="Arial" w:hAnsi="Arial" w:cs="Arial"/>
        </w:rPr>
        <w:br/>
      </w:r>
      <w:r w:rsidRPr="00A90FA9">
        <w:rPr>
          <w:rFonts w:ascii="Arial" w:hAnsi="Arial" w:cs="Arial"/>
          <w:spacing w:val="-6"/>
        </w:rPr>
        <w:t>— Кулисы</w:t>
      </w:r>
      <w:r w:rsidR="009C729A" w:rsidRPr="009C729A">
        <w:rPr>
          <w:rFonts w:ascii="Arial" w:hAnsi="Arial" w:cs="Arial"/>
          <w:spacing w:val="-6"/>
        </w:rPr>
        <w:t xml:space="preserve"> (4 плана)</w:t>
      </w:r>
      <w:r w:rsidRPr="00A90FA9">
        <w:rPr>
          <w:rFonts w:ascii="Arial" w:hAnsi="Arial" w:cs="Arial"/>
          <w:spacing w:val="-6"/>
        </w:rPr>
        <w:t>: 2,6</w:t>
      </w:r>
      <w:r w:rsidR="009C729A" w:rsidRPr="009C729A">
        <w:rPr>
          <w:rFonts w:ascii="Arial" w:hAnsi="Arial" w:cs="Arial"/>
          <w:spacing w:val="-6"/>
        </w:rPr>
        <w:t xml:space="preserve"> </w:t>
      </w:r>
      <w:r w:rsidRPr="00A90FA9">
        <w:rPr>
          <w:rFonts w:ascii="Arial" w:hAnsi="Arial" w:cs="Arial"/>
          <w:spacing w:val="-6"/>
        </w:rPr>
        <w:t>× 7,7 м (8 шт.) + боковые</w:t>
      </w:r>
      <w:r w:rsidR="00110250">
        <w:rPr>
          <w:rFonts w:ascii="Arial" w:hAnsi="Arial" w:cs="Arial"/>
          <w:spacing w:val="-6"/>
        </w:rPr>
        <w:t>:</w:t>
      </w:r>
      <w:r w:rsidRPr="00A90FA9">
        <w:rPr>
          <w:rFonts w:ascii="Arial" w:hAnsi="Arial" w:cs="Arial"/>
          <w:spacing w:val="-6"/>
        </w:rPr>
        <w:t xml:space="preserve"> 1,5 × 7,5 м (2 шт.) + 1,2 × 8,0 м (2 шт.).</w:t>
      </w:r>
      <w:r w:rsidRPr="00A90FA9">
        <w:rPr>
          <w:rFonts w:ascii="Arial" w:hAnsi="Arial" w:cs="Arial"/>
        </w:rPr>
        <w:br/>
        <w:t>— Падуги: 19,0 × 1,6 м (5 шт.).</w:t>
      </w:r>
    </w:p>
    <w:p w14:paraId="40549F06" w14:textId="2E70D3AC" w:rsidR="00A90FA9" w:rsidRPr="00A90FA9" w:rsidRDefault="00A90FA9" w:rsidP="00A90FA9">
      <w:pPr>
        <w:rPr>
          <w:rFonts w:ascii="Arial" w:hAnsi="Arial" w:cs="Arial"/>
        </w:rPr>
      </w:pPr>
      <w:r w:rsidRPr="00A90FA9">
        <w:rPr>
          <w:rFonts w:ascii="Arial" w:hAnsi="Arial" w:cs="Arial"/>
          <w:b/>
          <w:bCs/>
        </w:rPr>
        <w:t>Дополнительный вариант (</w:t>
      </w:r>
      <w:r w:rsidR="009C729A">
        <w:rPr>
          <w:rFonts w:ascii="Arial" w:hAnsi="Arial" w:cs="Arial"/>
          <w:b/>
          <w:bCs/>
        </w:rPr>
        <w:t xml:space="preserve">цвет: </w:t>
      </w:r>
      <w:r w:rsidRPr="00A90FA9">
        <w:rPr>
          <w:rFonts w:ascii="Arial" w:hAnsi="Arial" w:cs="Arial"/>
          <w:b/>
          <w:bCs/>
        </w:rPr>
        <w:t>бордо):</w:t>
      </w:r>
      <w:r w:rsidRPr="00A90FA9">
        <w:rPr>
          <w:rFonts w:ascii="Arial" w:hAnsi="Arial" w:cs="Arial"/>
        </w:rPr>
        <w:br/>
        <w:t>— Арлекин бордо: 19,0 × 1,0 м (1 шт.).</w:t>
      </w:r>
      <w:r w:rsidRPr="00A90FA9">
        <w:rPr>
          <w:rFonts w:ascii="Arial" w:hAnsi="Arial" w:cs="Arial"/>
        </w:rPr>
        <w:br/>
        <w:t>— Антрактно-раздвижной занавес бордо: 10,0 × 6,7 м (2 шт.).</w:t>
      </w:r>
    </w:p>
    <w:p w14:paraId="6D7987EF" w14:textId="645A7C01" w:rsidR="00286DD2" w:rsidRPr="009C729A" w:rsidRDefault="00A90FA9">
      <w:pPr>
        <w:rPr>
          <w:rFonts w:ascii="Arial" w:hAnsi="Arial" w:cs="Arial"/>
        </w:rPr>
      </w:pPr>
      <w:r w:rsidRPr="00A90FA9">
        <w:rPr>
          <w:rFonts w:ascii="Arial" w:hAnsi="Arial" w:cs="Arial"/>
          <w:b/>
          <w:bCs/>
        </w:rPr>
        <w:t>Общие характеристики</w:t>
      </w:r>
      <w:r w:rsidR="009C729A">
        <w:rPr>
          <w:rFonts w:ascii="Arial" w:hAnsi="Arial" w:cs="Arial"/>
          <w:b/>
          <w:bCs/>
        </w:rPr>
        <w:t xml:space="preserve"> ткани</w:t>
      </w:r>
      <w:r w:rsidRPr="00A90FA9">
        <w:rPr>
          <w:rFonts w:ascii="Arial" w:hAnsi="Arial" w:cs="Arial"/>
          <w:b/>
          <w:bCs/>
        </w:rPr>
        <w:t>:</w:t>
      </w:r>
      <w:r w:rsidRPr="00A90FA9">
        <w:rPr>
          <w:rFonts w:ascii="Arial" w:hAnsi="Arial" w:cs="Arial"/>
        </w:rPr>
        <w:br/>
        <w:t>— Материал: огнеупорный бархат.</w:t>
      </w:r>
      <w:r w:rsidRPr="00A90FA9">
        <w:rPr>
          <w:rFonts w:ascii="Arial" w:hAnsi="Arial" w:cs="Arial"/>
        </w:rPr>
        <w:br/>
        <w:t>— Коэффициент сборки: 2,0 (для бордового АРЗ — 3,0).</w:t>
      </w:r>
      <w:r w:rsidRPr="00A90FA9">
        <w:rPr>
          <w:rFonts w:ascii="Arial" w:hAnsi="Arial" w:cs="Arial"/>
        </w:rPr>
        <w:br/>
        <w:t>— Все элементы соответствуют противопожарным нормам.</w:t>
      </w:r>
      <w:r w:rsidRPr="00A90FA9">
        <w:rPr>
          <w:rFonts w:ascii="Arial" w:hAnsi="Arial" w:cs="Arial"/>
        </w:rPr>
        <w:br/>
      </w:r>
      <w:r w:rsidRPr="00A90FA9">
        <w:rPr>
          <w:rFonts w:ascii="Arial" w:hAnsi="Arial" w:cs="Arial"/>
          <w:i/>
          <w:iCs/>
        </w:rPr>
        <w:t>По запросу возможна замена базового черного комплекта на бордовый вариант. Замену осуществляет инженер-механик и вспомогательная группа декорационно-механической службы.</w:t>
      </w:r>
    </w:p>
    <w:sectPr w:rsidR="00286DD2" w:rsidRPr="009C7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76E8E"/>
    <w:multiLevelType w:val="multilevel"/>
    <w:tmpl w:val="35C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23D2E"/>
    <w:multiLevelType w:val="multilevel"/>
    <w:tmpl w:val="78B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A9"/>
    <w:rsid w:val="00110250"/>
    <w:rsid w:val="00286DD2"/>
    <w:rsid w:val="007168D0"/>
    <w:rsid w:val="00800564"/>
    <w:rsid w:val="008E12F0"/>
    <w:rsid w:val="009C729A"/>
    <w:rsid w:val="00A90FA9"/>
    <w:rsid w:val="00B710D8"/>
    <w:rsid w:val="00C7383A"/>
    <w:rsid w:val="00E0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8018"/>
  <w15:chartTrackingRefBased/>
  <w15:docId w15:val="{168E0572-02BF-4F04-A37F-319A6150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6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61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794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1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53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1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Константин Карманов</cp:lastModifiedBy>
  <cp:revision>2</cp:revision>
  <dcterms:created xsi:type="dcterms:W3CDTF">2026-10-19T11:30:00Z</dcterms:created>
  <dcterms:modified xsi:type="dcterms:W3CDTF">2026-10-20T12:34:00Z</dcterms:modified>
</cp:coreProperties>
</file>