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ICU Patient Deterioration Report</w:t>
      </w:r>
    </w:p>
    <w:p>
      <w:pPr>
        <w:pStyle w:val="Heading1"/>
      </w:pPr>
      <w:r>
        <w:t>1. Executive Summary</w:t>
      </w:r>
    </w:p>
    <w:p>
      <w:r>
        <w:t>This report details the machine learning pipeline developed to predict ICU patient deterioration. The objective is to identify patients at risk of deteriorating within a 24-hour window using historical clinical data, enabling early medical intervention.</w:t>
      </w:r>
    </w:p>
    <w:p>
      <w:pPr>
        <w:pStyle w:val="Heading1"/>
      </w:pPr>
      <w:r>
        <w:t>2. Dataset Architecture &amp; Preprocessing</w:t>
      </w:r>
    </w:p>
    <w:p>
      <w:r>
        <w:t>The dataset comprises continuous monitoring data from the Intensive Care Unit.</w:t>
      </w:r>
    </w:p>
    <w:p>
      <w:r>
        <w:rPr>
          <w:b/>
        </w:rPr>
        <w:t xml:space="preserve">Total Patient Records: </w:t>
      </w:r>
      <w:r>
        <w:t>138,953</w:t>
        <w:br/>
      </w:r>
      <w:r>
        <w:rPr>
          <w:b/>
        </w:rPr>
        <w:t xml:space="preserve">Validation Set Size: </w:t>
      </w:r>
      <w:r>
        <w:t>15,389 patients</w:t>
        <w:br/>
      </w:r>
      <w:r>
        <w:rPr>
          <w:b/>
        </w:rPr>
        <w:t xml:space="preserve">Temporal Structure: </w:t>
      </w:r>
      <w:r>
        <w:t>The data is naturally 3D sequential (Patients, Hours, Features). Each patient has up to 24 hours of continuous data, with 37 distinct clinical features measured per hour (including vitals, lab results, diagnoses, and medications).</w:t>
        <w:br/>
      </w:r>
      <w:r>
        <w:rPr>
          <w:b/>
        </w:rPr>
        <w:t xml:space="preserve">Flattening: </w:t>
      </w:r>
      <w:r>
        <w:t>Because traditional tree-based models cannot process 3D sequences, the temporal data was flattened into a 2D tabular format. This resulted in 24 * 37 = 888 features per patient.</w:t>
      </w:r>
    </w:p>
    <w:p>
      <w:pPr>
        <w:pStyle w:val="Heading1"/>
      </w:pPr>
      <w:r>
        <w:t>3. The Class Imbalance Challenge</w:t>
      </w:r>
    </w:p>
    <w:p>
      <w:r>
        <w:t>Medical deterioration is a rare event. In this dataset, the class distribution is severely skewed:</w:t>
      </w:r>
    </w:p>
    <w:p>
      <w:r>
        <w:rPr>
          <w:b/>
        </w:rPr>
        <w:t xml:space="preserve">Stable Patients (Class 0): </w:t>
      </w:r>
      <w:r>
        <w:t>97.21%</w:t>
        <w:br/>
      </w:r>
      <w:r>
        <w:rPr>
          <w:b/>
        </w:rPr>
        <w:t xml:space="preserve">Deteriorating Patients (Class 1): </w:t>
      </w:r>
      <w:r>
        <w:t>2.78%</w:t>
      </w:r>
    </w:p>
    <w:p>
      <w:pPr>
        <w:pStyle w:val="Heading2"/>
      </w:pPr>
      <w:r>
        <w:t>Strategy: Strict Real-Data Algorithmic Penalties</w:t>
      </w:r>
    </w:p>
    <w:p>
      <w:r>
        <w:t>Often, data scientists use synthetic data generation techniques (like SMOTE) to artificially balance the dataset. However, in clinical settings, inventing "fake" patients can introduce dangerous, unrealistic biases.</w:t>
      </w:r>
    </w:p>
    <w:p>
      <w:r>
        <w:t>Decision: We actively rejected synthetic data generation. Instead, we handled the imbalance at the mathematical level using class_weight='balanced'. This algorithmic penalty forces the Random Forest model to treat a single deteriorating patient as being substantially more "important" than dozens of stable patients during the learning phase, ensuring it focuses on the minority class without altering the raw data.</w:t>
      </w:r>
    </w:p>
    <w:p>
      <w:pPr>
        <w:pStyle w:val="Heading1"/>
      </w:pPr>
      <w:r>
        <w:t>4. Model Architecture &amp; Training</w:t>
      </w:r>
    </w:p>
    <w:p>
      <w:r>
        <w:rPr>
          <w:b/>
        </w:rPr>
        <w:t xml:space="preserve">Algorithm: </w:t>
      </w:r>
      <w:r>
        <w:t>Random Forest Classifier</w:t>
        <w:br/>
      </w:r>
      <w:r>
        <w:rPr>
          <w:b/>
        </w:rPr>
        <w:t>Hyperparameters:</w:t>
        <w:br/>
      </w:r>
      <w:r>
        <w:t xml:space="preserve">  - n_estimators = 100 (100 independent decision trees voting on the outcome)</w:t>
        <w:br/>
      </w:r>
      <w:r>
        <w:t xml:space="preserve">  - max_depth = 10 (Restricted tree depth to prevent the model from overfitting)</w:t>
        <w:br/>
      </w:r>
      <w:r>
        <w:t xml:space="preserve">  - n_jobs = -1 (Utilizing all available CPU cores for parallel processing)</w:t>
      </w:r>
    </w:p>
    <w:p>
      <w:pPr>
        <w:pStyle w:val="Heading1"/>
      </w:pPr>
      <w:r>
        <w:t>5. Evaluation &amp; Risk Stratification</w:t>
      </w:r>
    </w:p>
    <w:p>
      <w:r>
        <w:t>Traditional machine learning models output a binary 1 (Yes) or 0 (No) based on a strict 50% probability cutoff. For rare medical events, waiting for a model to be &gt;50% certain is often too late for early intervention.</w:t>
      </w:r>
    </w:p>
    <w:p>
      <w:r>
        <w:t>Decision: We entirely stripped the binary 1/0 classification from the pipeline. The model now acts strictly as a continuous risk engine, outputting the exact percentage probability of deterioration, which is then mapped to clinical risk tiers.</w:t>
      </w:r>
    </w:p>
    <w:tbl>
      <w:tblPr>
        <w:tblStyle w:val="TableGrid"/>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Probability Threshold</w:t>
            </w:r>
          </w:p>
        </w:tc>
      </w:tr>
      <w:tr>
        <w:tc>
          <w:tcPr>
            <w:tcW w:type="dxa" w:w="4320"/>
          </w:tcPr>
          <w:p>
            <w:r>
              <w:t>Low Risk</w:t>
            </w:r>
          </w:p>
        </w:tc>
        <w:tc>
          <w:tcPr>
            <w:tcW w:type="dxa" w:w="4320"/>
          </w:tcPr>
          <w:p>
            <w:r>
              <w:t>&lt; 25%</w:t>
            </w:r>
          </w:p>
        </w:tc>
      </w:tr>
      <w:tr>
        <w:tc>
          <w:tcPr>
            <w:tcW w:type="dxa" w:w="4320"/>
          </w:tcPr>
          <w:p>
            <w:r>
              <w:t>Moderate Risk</w:t>
            </w:r>
          </w:p>
        </w:tc>
        <w:tc>
          <w:tcPr>
            <w:tcW w:type="dxa" w:w="4320"/>
          </w:tcPr>
          <w:p>
            <w:r>
              <w:t>25% - 50%</w:t>
            </w:r>
          </w:p>
        </w:tc>
      </w:tr>
      <w:tr>
        <w:tc>
          <w:tcPr>
            <w:tcW w:type="dxa" w:w="4320"/>
          </w:tcPr>
          <w:p>
            <w:r>
              <w:t>High Risk</w:t>
            </w:r>
          </w:p>
        </w:tc>
        <w:tc>
          <w:tcPr>
            <w:tcW w:type="dxa" w:w="4320"/>
          </w:tcPr>
          <w:p>
            <w:r>
              <w:t>50% - 75%</w:t>
            </w:r>
          </w:p>
        </w:tc>
      </w:tr>
      <w:tr>
        <w:tc>
          <w:tcPr>
            <w:tcW w:type="dxa" w:w="4320"/>
          </w:tcPr>
          <w:p>
            <w:r>
              <w:t>Very High Risk</w:t>
            </w:r>
          </w:p>
        </w:tc>
        <w:tc>
          <w:tcPr>
            <w:tcW w:type="dxa" w:w="4320"/>
          </w:tcPr>
          <w:p>
            <w:r>
              <w:t>&gt; 75%</w:t>
            </w:r>
          </w:p>
        </w:tc>
      </w:tr>
    </w:tbl>
    <w:p>
      <w:r>
        <w:br/>
      </w:r>
    </w:p>
    <w:p>
      <w:pPr>
        <w:pStyle w:val="Heading1"/>
      </w:pPr>
      <w:r>
        <w:t>6. Final Results &amp; Distribution</w:t>
      </w:r>
    </w:p>
    <w:p>
      <w:r>
        <w:t>The model was tested against the 15,389 patients in the isolated validation set.</w:t>
      </w:r>
    </w:p>
    <w:p>
      <w:r>
        <w:rPr>
          <w:b/>
        </w:rPr>
        <w:t xml:space="preserve">ROC-AUC Score: </w:t>
      </w:r>
      <w:r>
        <w:t>0.6738 (Note: The ROC-AUC evaluates the model's ability to rank patients by probability, which is the exact metric needed for our Risk Stratification approach).</w:t>
        <w:br/>
      </w:r>
    </w:p>
    <w:p>
      <w:pPr>
        <w:pStyle w:val="Heading2"/>
      </w:pPr>
      <w:r>
        <w:t>Validation Set Patient Distribution:</w:t>
      </w:r>
    </w:p>
    <w:tbl>
      <w:tblPr>
        <w:tblStyle w:val="TableGrid"/>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Number of Patients</w:t>
            </w:r>
          </w:p>
        </w:tc>
      </w:tr>
      <w:tr>
        <w:tc>
          <w:tcPr>
            <w:tcW w:type="dxa" w:w="4320"/>
          </w:tcPr>
          <w:p>
            <w:r>
              <w:t>Low Risk</w:t>
            </w:r>
          </w:p>
        </w:tc>
        <w:tc>
          <w:tcPr>
            <w:tcW w:type="dxa" w:w="4320"/>
          </w:tcPr>
          <w:p>
            <w:r>
              <w:t>11,216</w:t>
            </w:r>
          </w:p>
        </w:tc>
      </w:tr>
      <w:tr>
        <w:tc>
          <w:tcPr>
            <w:tcW w:type="dxa" w:w="4320"/>
          </w:tcPr>
          <w:p>
            <w:r>
              <w:t>Moderate Risk</w:t>
            </w:r>
          </w:p>
        </w:tc>
        <w:tc>
          <w:tcPr>
            <w:tcW w:type="dxa" w:w="4320"/>
          </w:tcPr>
          <w:p>
            <w:r>
              <w:t>3,646</w:t>
            </w:r>
          </w:p>
        </w:tc>
      </w:tr>
      <w:tr>
        <w:tc>
          <w:tcPr>
            <w:tcW w:type="dxa" w:w="4320"/>
          </w:tcPr>
          <w:p>
            <w:r>
              <w:t>High Risk</w:t>
            </w:r>
          </w:p>
        </w:tc>
        <w:tc>
          <w:tcPr>
            <w:tcW w:type="dxa" w:w="4320"/>
          </w:tcPr>
          <w:p>
            <w:r>
              <w:t>515</w:t>
            </w:r>
          </w:p>
        </w:tc>
      </w:tr>
      <w:tr>
        <w:tc>
          <w:tcPr>
            <w:tcW w:type="dxa" w:w="4320"/>
          </w:tcPr>
          <w:p>
            <w:r>
              <w:t>Very High Risk</w:t>
            </w:r>
          </w:p>
        </w:tc>
        <w:tc>
          <w:tcPr>
            <w:tcW w:type="dxa" w:w="4320"/>
          </w:tcPr>
          <w:p>
            <w:r>
              <w:t>12</w:t>
            </w:r>
          </w:p>
        </w:tc>
      </w:tr>
    </w:tbl>
    <w:p>
      <w:r>
        <w:br/>
      </w:r>
    </w:p>
    <w:p>
      <w:pPr>
        <w:pStyle w:val="Heading1"/>
      </w:pPr>
      <w:r>
        <w:t>7. Future Recommendations</w:t>
      </w:r>
    </w:p>
    <w:p>
      <w:r>
        <w:t>While the Random Forest provides a strong baseline, flattening 3D sequence data destroys the explicit awareness of "time." To capture temporal trends (e.g., a patient's heart rate steadily rising over 6 hours), the next architectural evolution should be migrating to a Recurrent Neural Network (RNN) or Long Short-Term Memory (LSTM) model, coupled with Focal Loss to handle the class imbalance.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