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  <w:sz w:val="44"/>
        </w:rPr>
        <w:t>ICU Patient Deterioration Prediction</w:t>
      </w:r>
    </w:p>
    <w:p>
      <w:pPr>
        <w:pStyle w:val="Heading1"/>
      </w:pPr>
      <w:r>
        <w:rPr>
          <w:color w:val="444466"/>
          <w:sz w:val="28"/>
        </w:rPr>
        <w:t>Feature Documentation — Priority List</w:t>
      </w:r>
    </w:p>
    <w:p/>
    <w:p>
      <w:r>
        <w:rPr>
          <w:b/>
        </w:rPr>
        <w:t xml:space="preserve">Dataset: </w:t>
      </w:r>
      <w:r>
        <w:t>eicu_hourly_labeled_6h_12h_24h.csv</w:t>
        <w:br/>
      </w:r>
      <w:r>
        <w:rPr>
          <w:b/>
        </w:rPr>
        <w:t xml:space="preserve">Source: </w:t>
      </w:r>
      <w:r>
        <w:t>eICU Collaborative Research Database</w:t>
        <w:br/>
      </w:r>
      <w:r>
        <w:rPr>
          <w:b/>
        </w:rPr>
        <w:t xml:space="preserve">Total Records: </w:t>
      </w:r>
      <w:r>
        <w:t>~94,049 hourly observations</w:t>
        <w:br/>
      </w:r>
      <w:r>
        <w:rPr>
          <w:b/>
        </w:rPr>
        <w:t xml:space="preserve">Total Columns: </w:t>
      </w:r>
      <w:r>
        <w:t>48</w:t>
      </w:r>
    </w:p>
    <w:p>
      <w:pPr>
        <w:pStyle w:val="Heading1"/>
      </w:pPr>
      <w:r>
        <w:rPr>
          <w:color w:val="1A1A2E"/>
        </w:rPr>
        <w:t>Overview</w:t>
      </w:r>
    </w:p>
    <w:p>
      <w:r>
        <w:t>This document lists all features used in the ICU Patient Deterioration Prediction project, ordered by priority/importance based on the model's SHAP-derived feature weights and clinical relevance for predicting patient deterioration at 6-hour, 12-hour, and 24-hour horizons.</w:t>
      </w:r>
    </w:p>
    <w:p>
      <w:pPr>
        <w:pStyle w:val="Heading2"/>
      </w:pPr>
      <w:r>
        <w:rPr>
          <w:color w:val="1A1A2E"/>
        </w:rPr>
        <w:t>Feature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135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3135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Vital Signs (Time-Series)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Continuous physiological measurements recorded hourly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Laboratory Values (Time-Series)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Blood test results updated periodically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Demographic &amp; Administrative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Static patient information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Missingness Indicators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Binary flags indicating imputed values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Target Labels &amp; Metadata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Prediction targets and data splits (NOT used as inputs)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Priority 1 — Critical Predictors (Highest Importance)</w:t>
      </w:r>
    </w:p>
    <w:p>
      <w:r>
        <w:t xml:space="preserve">These features have the </w:t>
      </w:r>
      <w:r>
        <w:rPr>
          <w:b/>
        </w:rPr>
        <w:t>strongest influence</w:t>
      </w:r>
      <w:r>
        <w:t xml:space="preserve"> on deterioration prediction based on SHAP analysis.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C0392B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344"/>
            <w:shd w:fill="C0392B" w:val="clear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344"/>
            <w:shd w:fill="C0392B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344"/>
            <w:shd w:fill="C0392B" w:val="clear"/>
          </w:tcPr>
          <w:p>
            <w:r/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344"/>
            <w:shd w:fill="C0392B" w:val="clear"/>
          </w:tcPr>
          <w:p>
            <w:r/>
            <w:r>
              <w:rPr>
                <w:b/>
                <w:color w:val="FFFFFF"/>
                <w:sz w:val="18"/>
              </w:rPr>
              <w:t>Normal Range</w:t>
            </w:r>
          </w:p>
        </w:tc>
        <w:tc>
          <w:tcPr>
            <w:tcW w:type="dxa" w:w="1344"/>
            <w:shd w:fill="C0392B" w:val="clear"/>
          </w:tcPr>
          <w:p>
            <w:r/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1344"/>
            <w:shd w:fill="C0392B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sao2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Vital Sign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95–100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1.8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Peripheral oxygen saturation (SpO₂). The single most important predictor — low SpO₂ strongly signals respiratory failure.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Lactate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Lab Value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mmol/L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0.5–2.0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1.7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Blood lactate level. Elevated lactate indicates tissue hypoperfusion, sepsis, or shock.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systemicmean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Vital Sign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mmHg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70–105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1.6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Mean Arterial Pressure (MAP). Critical indicator of organ perfusion. MAP &lt; 65 mmHg signals septic shock.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systemicsystolic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Vital Sign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mmHg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90–140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Systolic Blood Pressure. Hypotension (&lt; 90 mmHg) is a red flag for hemodynamic instability.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Creatinine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Lab Value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mg/dL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0.6–1.2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Serum creatinine. Rising creatinine indicates acute kidney injury (AKI).</w:t>
            </w:r>
          </w:p>
        </w:tc>
      </w:tr>
    </w:tbl>
    <w:p>
      <w:pPr>
        <w:pStyle w:val="Heading1"/>
      </w:pPr>
      <w:r>
        <w:rPr>
          <w:color w:val="1A1A2E"/>
        </w:rPr>
        <w:t>Priority 2 — Important Predictors (High Importance)</w:t>
      </w:r>
    </w:p>
    <w:p>
      <w:r>
        <w:t>These features significantly contribute to the model's predictions.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E67E22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344"/>
            <w:shd w:fill="E67E22" w:val="clear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344"/>
            <w:shd w:fill="E67E22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344"/>
            <w:shd w:fill="E67E22" w:val="clear"/>
          </w:tcPr>
          <w:p>
            <w:r/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344"/>
            <w:shd w:fill="E67E22" w:val="clear"/>
          </w:tcPr>
          <w:p>
            <w:r/>
            <w:r>
              <w:rPr>
                <w:b/>
                <w:color w:val="FFFFFF"/>
                <w:sz w:val="18"/>
              </w:rPr>
              <w:t>Normal Range</w:t>
            </w:r>
          </w:p>
        </w:tc>
        <w:tc>
          <w:tcPr>
            <w:tcW w:type="dxa" w:w="1344"/>
            <w:shd w:fill="E67E22" w:val="clear"/>
          </w:tcPr>
          <w:p>
            <w:r/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1344"/>
            <w:shd w:fill="E67E22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heartrate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Vital Sign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bpm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60–100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Heart rate. Tachycardia (&gt; 100 bpm) or bradycardia (&lt; 60 bpm) signals cardiovascular stress.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respiration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Vital Sign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/min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12–20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Respiratory rate. Tachypnea (&gt; 20/min) is one of the earliest signs of deterioration and a qSOFA criterion.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WBC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Lab Value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×10³/µL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4.5–11.0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White Blood Cell count. Leukocytosis or leukopenia indicates infection/sepsis.</w:t>
            </w:r>
          </w:p>
        </w:tc>
      </w:tr>
    </w:tbl>
    <w:p>
      <w:pPr>
        <w:pStyle w:val="Heading1"/>
      </w:pPr>
      <w:r>
        <w:rPr>
          <w:color w:val="1A1A2E"/>
        </w:rPr>
        <w:t>Priority 3 — Moderate Predictors</w:t>
      </w:r>
    </w:p>
    <w:p>
      <w:r>
        <w:t>These features provide supporting information for prediction accuracy.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F1C40F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344"/>
            <w:shd w:fill="F1C40F" w:val="clear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344"/>
            <w:shd w:fill="F1C40F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344"/>
            <w:shd w:fill="F1C40F" w:val="clear"/>
          </w:tcPr>
          <w:p>
            <w:r/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344"/>
            <w:shd w:fill="F1C40F" w:val="clear"/>
          </w:tcPr>
          <w:p>
            <w:r/>
            <w:r>
              <w:rPr>
                <w:b/>
                <w:color w:val="FFFFFF"/>
                <w:sz w:val="18"/>
              </w:rPr>
              <w:t>Normal Range</w:t>
            </w:r>
          </w:p>
        </w:tc>
        <w:tc>
          <w:tcPr>
            <w:tcW w:type="dxa" w:w="1344"/>
            <w:shd w:fill="F1C40F" w:val="clear"/>
          </w:tcPr>
          <w:p>
            <w:r/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1344"/>
            <w:shd w:fill="F1C40F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temperature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Vital Sign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°C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36.1–37.5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Body temperature. Fever (&gt; 38.3°C) or hypothermia (&lt; 36°C) are SIRS criteria.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BUN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Lab Value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mg/dL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7–20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Blood Urea Nitrogen. Elevated BUN reflects renal dysfunction and dehydration.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systemicdiastolic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Vital Sign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mmHg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60–90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Diastolic Blood Pressure. Complements systolic BP in cardiovascular assessment.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Potassium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Lab Value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mEq/L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3.5–5.0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Serum potassium. Both hypo- and hyperkalemia cause dangerous cardiac arrhythmias.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Platelets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Lab Value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×10³/µL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150–400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Platelet count. Thrombocytopenia is a component of DIC and sepsis coagulopathy.</w:t>
            </w:r>
          </w:p>
        </w:tc>
      </w:tr>
    </w:tbl>
    <w:p>
      <w:pPr>
        <w:pStyle w:val="Heading1"/>
      </w:pPr>
      <w:r>
        <w:rPr>
          <w:color w:val="1A1A2E"/>
        </w:rPr>
        <w:t>Priority 4 — Supporting Predictors (Lower Importance)</w:t>
      </w:r>
    </w:p>
    <w:p>
      <w:r>
        <w:t>These features add supplementary context to the prediction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27AE60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344"/>
            <w:shd w:fill="27AE60" w:val="clear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344"/>
            <w:shd w:fill="27AE60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344"/>
            <w:shd w:fill="27AE60" w:val="clear"/>
          </w:tcPr>
          <w:p>
            <w:r/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344"/>
            <w:shd w:fill="27AE60" w:val="clear"/>
          </w:tcPr>
          <w:p>
            <w:r/>
            <w:r>
              <w:rPr>
                <w:b/>
                <w:color w:val="FFFFFF"/>
                <w:sz w:val="18"/>
              </w:rPr>
              <w:t>Normal Range</w:t>
            </w:r>
          </w:p>
        </w:tc>
        <w:tc>
          <w:tcPr>
            <w:tcW w:type="dxa" w:w="1344"/>
            <w:shd w:fill="27AE60" w:val="clear"/>
          </w:tcPr>
          <w:p>
            <w:r/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1344"/>
            <w:shd w:fill="27AE60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Hemoglobin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Lab Value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g/dL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12–17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0.9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Blood hemoglobin. Anemia (low Hgb) affects oxygen delivery and can worsen deterioration.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Glucose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Lab Value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mg/dL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70–140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0.8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Blood glucose. Both hypoglycemia and hyperglycemia are associated with poor ICU outcomes.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Sodium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Lab Value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mEq/L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136–145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0.7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Serum sodium. Dysnatremia affects neurological function and fluid balance.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Priority 5 — Demographic &amp; Contextual Features</w:t>
      </w:r>
    </w:p>
    <w:p>
      <w:r>
        <w:t>Static features providing patient background context.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980B9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2980B9" w:val="clear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881"/>
            <w:shd w:fill="2980B9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81"/>
            <w:shd w:fill="2980B9" w:val="clear"/>
          </w:tcPr>
          <w:p>
            <w:r/>
            <w:r>
              <w:rPr>
                <w:b/>
                <w:color w:val="FFFFFF"/>
                <w:sz w:val="18"/>
              </w:rPr>
              <w:t>Values/Range</w:t>
            </w:r>
          </w:p>
        </w:tc>
        <w:tc>
          <w:tcPr>
            <w:tcW w:type="dxa" w:w="1881"/>
            <w:shd w:fill="2980B9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age (age_numeric)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Demographic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Numeric (years)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Patient age. Older patients have higher baseline risk.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gender (gender_encoded)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Demographic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Male / Female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Patient biological sex. Encoded as binary for the model.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ethnicity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Demographic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Caucasian, African American, etc.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Patient ethnicity. Contextual demographic information.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unitadmitsource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Administrative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ICU, ER, Floor, etc.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Source of ICU admission — indicates severity at entry.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unitstaytype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Administrative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admit, readmit, stepdown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Type of ICU stay — readmissions may indicate higher risk.</w:t>
            </w:r>
          </w:p>
        </w:tc>
      </w:tr>
    </w:tbl>
    <w:p>
      <w:pPr>
        <w:pStyle w:val="Heading1"/>
      </w:pPr>
      <w:r>
        <w:rPr>
          <w:color w:val="1A1A2E"/>
        </w:rPr>
        <w:t>Priority 6 — Missingness Indicator Features</w:t>
      </w:r>
    </w:p>
    <w:p>
      <w:r>
        <w:t>Binary flags (0 or 1) indicating whether each corresponding feature value was imputed (missing in the original record). Missingness itself can be clinically informative — a test not ordered may indicate stability.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7F8C8D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35"/>
            <w:shd w:fill="7F8C8D" w:val="clear"/>
          </w:tcPr>
          <w:p>
            <w:r/>
            <w:r>
              <w:rPr>
                <w:b/>
                <w:color w:val="FFFFFF"/>
                <w:sz w:val="18"/>
              </w:rPr>
              <w:t>Missingness Feature</w:t>
            </w:r>
          </w:p>
        </w:tc>
        <w:tc>
          <w:tcPr>
            <w:tcW w:type="dxa" w:w="3135"/>
            <w:shd w:fill="7F8C8D" w:val="clear"/>
          </w:tcPr>
          <w:p>
            <w:r/>
            <w:r>
              <w:rPr>
                <w:b/>
                <w:color w:val="FFFFFF"/>
                <w:sz w:val="18"/>
              </w:rPr>
              <w:t>Original Feature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heartrate_missing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heartrate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systemicsystolic_missing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systemicsystolic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systemicdiastolic_missing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systemicdiastolic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systemicmean_missing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systemicmean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respiration_missing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respiration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sao2_missing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sao2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temperature_missing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temperature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WBC_missing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WBC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Hemoglobin_missing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Hemoglobin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Platelets_missing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Platelets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Creatinine_missing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Creatinine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BUN_missing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BUN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Sodium_missing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Sodium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Potassium_missing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Potassium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Glucose_missing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Glucose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37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Lactate_missing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Lactate</w:t>
            </w:r>
          </w:p>
        </w:tc>
      </w:tr>
    </w:tbl>
    <w:p>
      <w:pPr>
        <w:pStyle w:val="Heading1"/>
      </w:pPr>
      <w:r>
        <w:rPr>
          <w:color w:val="1A1A2E"/>
        </w:rPr>
        <w:t>Target Variables (NOT Used as Input Features)</w:t>
      </w:r>
    </w:p>
    <w:p>
      <w:r>
        <w:t xml:space="preserve">These columns are </w:t>
      </w:r>
      <w:r>
        <w:rPr>
          <w:b/>
        </w:rPr>
        <w:t>prediction targets</w:t>
      </w:r>
      <w:r>
        <w:t xml:space="preserve"> and metadata — they are </w:t>
      </w:r>
      <w:r>
        <w:rPr>
          <w:b/>
        </w:rPr>
        <w:t>excluded</w:t>
      </w:r>
      <w:r>
        <w:t xml:space="preserve"> from model input to prevent data leakage.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95A5A6" w:val="clear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703"/>
            <w:shd w:fill="95A5A6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label_6h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Binary — will the patient deteriorate within the next 6 hours?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label_12h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Binary — will the patient deteriorate within the next 12 hours?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label_24h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Binary — will the patient deteriorate within the next 24 hours?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icu_death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Binary — did the patient die during the ICU stay?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hours_to_event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Hours until deterioration event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discharge_hour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Hour of ICU discharge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unitdischargeoffset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Discharge offset in minutes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split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Data split: train / val / test</w:t>
            </w:r>
          </w:p>
        </w:tc>
      </w:tr>
    </w:tbl>
    <w:p>
      <w:pPr>
        <w:pStyle w:val="Heading1"/>
      </w:pPr>
      <w:r>
        <w:rPr>
          <w:color w:val="1A1A2E"/>
        </w:rPr>
        <w:t>Feature Engineering in Model Pipeline</w:t>
      </w:r>
    </w:p>
    <w:p>
      <w:r>
        <w:t>For classical ML models (Logistic Regression, Random Forest, XGBoost), the following summary features are derived from each 24-hour time-series window: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E44AD" w:val="clear"/>
          </w:tcPr>
          <w:p>
            <w:r/>
            <w:r>
              <w:rPr>
                <w:b/>
                <w:color w:val="FFFFFF"/>
                <w:sz w:val="18"/>
              </w:rPr>
              <w:t>Derived Feature</w:t>
            </w:r>
          </w:p>
        </w:tc>
        <w:tc>
          <w:tcPr>
            <w:tcW w:type="dxa" w:w="4703"/>
            <w:shd w:fill="8E44AD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Last Value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Most recent hourly reading for each feature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Mean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Average value across the 24-hour observation window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Standard Deviation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Variability/instability measure over 24 hours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Linear Trend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Slope over time — captures worsening or improving trajectory</w:t>
            </w:r>
          </w:p>
        </w:tc>
      </w:tr>
    </w:tbl>
    <w:p/>
    <w:p>
      <w:r>
        <w:rPr>
          <w:b/>
        </w:rPr>
        <w:t xml:space="preserve">Note: </w:t>
      </w:r>
      <w:r>
        <w:t>For deep learning models (LSTM, GRU), raw 24-hour sequences of all features are used directly as input without summary feature engineering.</w:t>
      </w:r>
    </w:p>
    <w:p>
      <w:pPr>
        <w:pStyle w:val="Heading1"/>
      </w:pPr>
      <w:r>
        <w:rPr>
          <w:color w:val="1A1A2E"/>
        </w:rPr>
        <w:t>Summary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03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Total columns in dataset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48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Input features (used by model)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37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Excluded columns (targets + metadata)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Identifier columns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Vital sign features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Lab value features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9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Demographic features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Missingness indicators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16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