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ICU Patient Deterioration Prediction Report</w:t>
      </w:r>
    </w:p>
    <w:p>
      <w:pPr>
        <w:pStyle w:val="Heading1"/>
      </w:pPr>
      <w:r>
        <w:t>1. Data Exploration &amp; Processing</w:t>
      </w:r>
    </w:p>
    <w:p>
      <w:r>
        <w:t>Dataset Source: Processed ICU Dataset</w:t>
      </w:r>
    </w:p>
    <w:p>
      <w:r>
        <w:t>Total Patients/Records: 138,953</w:t>
      </w:r>
    </w:p>
    <w:p>
      <w:r>
        <w:t>Total Features: 47 (Including vitals, labs, diagnoses, and medications)</w:t>
      </w:r>
    </w:p>
    <w:p>
      <w:pPr>
        <w:pStyle w:val="Heading2"/>
      </w:pPr>
      <w:r>
        <w:t>Class Imbalance (Deterioration within 24 hours):</w:t>
      </w:r>
    </w:p>
    <w:p>
      <w:r>
        <w:rPr>
          <w:b/>
        </w:rPr>
        <w:t xml:space="preserve">No Deterioration (0): </w:t>
      </w:r>
      <w:r>
        <w:t>97.21%</w:t>
        <w:br/>
      </w:r>
      <w:r>
        <w:rPr>
          <w:b/>
        </w:rPr>
        <w:t xml:space="preserve">Deterioration (1): </w:t>
      </w:r>
      <w:r>
        <w:t>2.78%</w:t>
      </w:r>
    </w:p>
    <w:p>
      <w:pPr>
        <w:pStyle w:val="Heading1"/>
      </w:pPr>
      <w:r>
        <w:t>2. Random Forest Model Training</w:t>
      </w:r>
    </w:p>
    <w:p>
      <w:r>
        <w:t>The 3D sequential data was flattened into a tabular format to train the Random Forest model.</w:t>
      </w:r>
    </w:p>
    <w:p>
      <w:r>
        <w:t>Validation Set Shape: 15,389 patients, 888 features (24 hours x 37 features)</w:t>
      </w:r>
    </w:p>
    <w:p>
      <w:pPr>
        <w:pStyle w:val="Heading2"/>
      </w:pPr>
      <w:r>
        <w:t>Model Performance:</w:t>
      </w:r>
    </w:p>
    <w:p>
      <w:r>
        <w:rPr>
          <w:b/>
        </w:rPr>
        <w:t xml:space="preserve">ROC-AUC Score: </w:t>
      </w:r>
      <w:r>
        <w:t>0.6738</w:t>
        <w:br/>
      </w:r>
      <w:r>
        <w:rPr>
          <w:b/>
        </w:rPr>
        <w:t xml:space="preserve">Overall Accuracy: </w:t>
      </w:r>
      <w:r>
        <w:t>95% (Due to class imbalance)</w:t>
      </w:r>
    </w:p>
    <w:p>
      <w:pPr>
        <w:pStyle w:val="Heading1"/>
      </w:pPr>
      <w:r>
        <w:t>3. Patient Risk Stratification</w:t>
      </w:r>
    </w:p>
    <w:p>
      <w:r>
        <w:t>Based on the model probabilities, patients are categorized into the following risk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Probability Threshold</w:t>
            </w:r>
          </w:p>
        </w:tc>
      </w:tr>
      <w:tr>
        <w:tc>
          <w:tcPr>
            <w:tcW w:type="dxa" w:w="4320"/>
          </w:tcPr>
          <w:p>
            <w:r>
              <w:t>Low Risk</w:t>
            </w:r>
          </w:p>
        </w:tc>
        <w:tc>
          <w:tcPr>
            <w:tcW w:type="dxa" w:w="4320"/>
          </w:tcPr>
          <w:p>
            <w:r>
              <w:t>&lt; 25%</w:t>
            </w:r>
          </w:p>
        </w:tc>
      </w:tr>
      <w:tr>
        <w:tc>
          <w:tcPr>
            <w:tcW w:type="dxa" w:w="4320"/>
          </w:tcPr>
          <w:p>
            <w:r>
              <w:t>Moderate Risk</w:t>
            </w:r>
          </w:p>
        </w:tc>
        <w:tc>
          <w:tcPr>
            <w:tcW w:type="dxa" w:w="4320"/>
          </w:tcPr>
          <w:p>
            <w:r>
              <w:t>25% - 50%</w:t>
            </w:r>
          </w:p>
        </w:tc>
      </w:tr>
      <w:tr>
        <w:tc>
          <w:tcPr>
            <w:tcW w:type="dxa" w:w="4320"/>
          </w:tcPr>
          <w:p>
            <w:r>
              <w:t>High Risk</w:t>
            </w:r>
          </w:p>
        </w:tc>
        <w:tc>
          <w:tcPr>
            <w:tcW w:type="dxa" w:w="4320"/>
          </w:tcPr>
          <w:p>
            <w:r>
              <w:t>50% - 75%</w:t>
            </w:r>
          </w:p>
        </w:tc>
      </w:tr>
      <w:tr>
        <w:tc>
          <w:tcPr>
            <w:tcW w:type="dxa" w:w="4320"/>
          </w:tcPr>
          <w:p>
            <w:r>
              <w:t>Very High Risk</w:t>
            </w:r>
          </w:p>
        </w:tc>
        <w:tc>
          <w:tcPr>
            <w:tcW w:type="dxa" w:w="4320"/>
          </w:tcPr>
          <w:p>
            <w:r>
              <w:t>&gt; 75%</w:t>
            </w:r>
          </w:p>
        </w:tc>
      </w:tr>
    </w:tbl>
    <w:p>
      <w:r>
        <w:br/>
      </w:r>
    </w:p>
    <w:p>
      <w:pPr>
        <w:pStyle w:val="Heading2"/>
      </w:pPr>
      <w:r>
        <w:t>Validation Set Risk Distribution (15,389 Patients):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Number of Patients</w:t>
            </w:r>
          </w:p>
        </w:tc>
      </w:tr>
      <w:tr>
        <w:tc>
          <w:tcPr>
            <w:tcW w:type="dxa" w:w="4320"/>
          </w:tcPr>
          <w:p>
            <w:r>
              <w:t>Low Risk</w:t>
            </w:r>
          </w:p>
        </w:tc>
        <w:tc>
          <w:tcPr>
            <w:tcW w:type="dxa" w:w="4320"/>
          </w:tcPr>
          <w:p>
            <w:r>
              <w:t>11,216</w:t>
            </w:r>
          </w:p>
        </w:tc>
      </w:tr>
      <w:tr>
        <w:tc>
          <w:tcPr>
            <w:tcW w:type="dxa" w:w="4320"/>
          </w:tcPr>
          <w:p>
            <w:r>
              <w:t>Moderate Risk</w:t>
            </w:r>
          </w:p>
        </w:tc>
        <w:tc>
          <w:tcPr>
            <w:tcW w:type="dxa" w:w="4320"/>
          </w:tcPr>
          <w:p>
            <w:r>
              <w:t>3,646</w:t>
            </w:r>
          </w:p>
        </w:tc>
      </w:tr>
      <w:tr>
        <w:tc>
          <w:tcPr>
            <w:tcW w:type="dxa" w:w="4320"/>
          </w:tcPr>
          <w:p>
            <w:r>
              <w:t>High Risk</w:t>
            </w:r>
          </w:p>
        </w:tc>
        <w:tc>
          <w:tcPr>
            <w:tcW w:type="dxa" w:w="4320"/>
          </w:tcPr>
          <w:p>
            <w:r>
              <w:t>515</w:t>
            </w:r>
          </w:p>
        </w:tc>
      </w:tr>
      <w:tr>
        <w:tc>
          <w:tcPr>
            <w:tcW w:type="dxa" w:w="4320"/>
          </w:tcPr>
          <w:p>
            <w:r>
              <w:t>Very High Risk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r>
        <w:br/>
        <w:t>Conclusion: The Random Forest model provides a foundational baseline for categorizing patient risk, successfully stratifying patients into actionable clinical groups. However, to capture time-series trends effectively, an LSTM or temporal model is recommended for future iterations.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