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SERVIR GRP prototype reviewer manual</w:t>
      </w:r>
    </w:p>
    <w:p>
      <w:pPr>
        <w:pStyle w:val="Heading1"/>
      </w:pPr>
      <w:r>
        <w:t>Phaya Thai District example</w:t>
      </w:r>
    </w:p>
    <w:p>
      <w:r>
        <w:rPr>
          <w:b/>
        </w:rPr>
        <w:t>Prototype version:</w:t>
      </w:r>
      <w:r>
        <w:t xml:space="preserve"> 0.1.9-prototype</w:t>
      </w:r>
    </w:p>
    <w:p>
      <w:r>
        <w:rPr>
          <w:b/>
        </w:rPr>
        <w:t>Live prototype:</w:t>
      </w:r>
      <w:r>
        <w:t xml:space="preserve"> http://18.139.74.142/</w:t>
      </w:r>
    </w:p>
    <w:p>
      <w:r>
        <w:rPr>
          <w:b/>
        </w:rPr>
        <w:t>Local fallback:</w:t>
      </w:r>
      <w:r>
        <w:t xml:space="preserve"> http://localhost:8080</w:t>
      </w:r>
    </w:p>
    <w:p>
      <w:r>
        <w:rPr>
          <w:b/>
        </w:rPr>
        <w:t>Audience:</w:t>
      </w:r>
      <w:r>
        <w:t xml:space="preserve"> Product, planning, data, method and platform reviewers</w:t>
      </w:r>
    </w:p>
    <w:p>
      <w:r>
        <w:rPr>
          <w:b/>
        </w:rPr>
        <w:t>Recommended review time:</w:t>
      </w:r>
      <w:r>
        <w:t xml:space="preserve"> 20–30 minutes</w:t>
      </w:r>
    </w:p>
    <w:p>
      <w:pPr>
        <w:pStyle w:val="Heading1"/>
      </w:pPr>
      <w:r>
        <w:t>1. Purpose of this manual</w:t>
      </w:r>
    </w:p>
    <w:p>
      <w:r>
        <w:t xml:space="preserve">This manual guides a reviewer through the current first-phase evacuation-preparedness prototype using </w:t>
      </w:r>
      <w:r>
        <w:rPr>
          <w:b/>
        </w:rPr>
        <w:t>Phaya Thai District, Bangkok</w:t>
      </w:r>
      <w:r>
        <w:t xml:space="preserve"> as the worked example.</w:t>
      </w:r>
    </w:p>
    <w:p>
      <w:r>
        <w:t>The review should determine whether the prototype clearly helps a Planner:</w:t>
      </w:r>
    </w:p>
    <w:p>
      <w:pPr>
        <w:pStyle w:val="ListNumber"/>
      </w:pPr>
      <w:r>
        <w:t>compare five candidate locations;</w:t>
      </w:r>
    </w:p>
    <w:p>
      <w:pPr>
        <w:pStyle w:val="ListNumber"/>
      </w:pPr>
      <w:r>
        <w:t>understand nearby aggregated vulnerable-population zones and movement-support needs;</w:t>
      </w:r>
    </w:p>
    <w:p>
      <w:pPr>
        <w:pStyle w:val="ListNumber"/>
      </w:pPr>
      <w:r>
        <w:t>inspect illustrative shelter-proximity and population gaps;</w:t>
      </w:r>
    </w:p>
    <w:p>
      <w:pPr>
        <w:pStyle w:val="ListNumber"/>
      </w:pPr>
      <w:r>
        <w:t>build a preparedness investment brief; and</w:t>
      </w:r>
    </w:p>
    <w:p>
      <w:pPr>
        <w:pStyle w:val="ListNumber"/>
      </w:pPr>
      <w:r>
        <w:t>access the H/M/L risk map as supporting information.</w:t>
      </w:r>
    </w:p>
    <w:p>
      <w:r>
        <w:t xml:space="preserve">The first phase intentionally does </w:t>
      </w:r>
      <w:r>
        <w:rPr>
          <w:b/>
        </w:rPr>
        <w:t>not</w:t>
      </w:r>
      <w:r>
        <w:t xml:space="preserve"> contain analyst-validation status, approval states, candidate suitability scores or capacity decisions.</w:t>
      </w:r>
    </w:p>
    <w:p>
      <w:pPr>
        <w:pStyle w:val="Heading1"/>
      </w:pPr>
      <w:r>
        <w:t>2. Important prototype boundaries</w:t>
      </w:r>
    </w:p>
    <w:p>
      <w:r>
        <w:t>Before reviewing, keep these interpretation rules in mind:</w:t>
      </w:r>
    </w:p>
    <w:p>
      <w:pPr>
        <w:pStyle w:val="ListBullet"/>
      </w:pPr>
      <w:r>
        <w:t>Phaya Thai District is a real administrative name.</w:t>
      </w:r>
    </w:p>
    <w:p>
      <w:pPr>
        <w:pStyle w:val="ListBullet"/>
      </w:pPr>
      <w:r>
        <w:t>AOI boundaries, flood geometry, candidate locations, population values, vulnerability values, proximity results and risk points are illustrative.</w:t>
      </w:r>
    </w:p>
    <w:p>
      <w:pPr>
        <w:pStyle w:val="ListBullet"/>
      </w:pPr>
      <w:r>
        <w:t>Candidate locations are not confirmed safe, suitable, approved or operational.</w:t>
      </w:r>
    </w:p>
    <w:p>
      <w:pPr>
        <w:pStyle w:val="ListBullet"/>
      </w:pPr>
      <w:r>
        <w:t>Suitability and capacity are not assessed in this first phase.</w:t>
      </w:r>
    </w:p>
    <w:p>
      <w:pPr>
        <w:pStyle w:val="ListBullet"/>
      </w:pPr>
      <w:r>
        <w:t>Vulnerable-population zones are aggregated and do not represent individual people or households.</w:t>
      </w:r>
    </w:p>
    <w:p>
      <w:pPr>
        <w:pStyle w:val="ListBullet"/>
      </w:pPr>
      <w:r>
        <w:t>Vulnerability categories may overlap and must not be summed.</w:t>
      </w:r>
    </w:p>
    <w:p>
      <w:pPr>
        <w:pStyle w:val="ListBullet"/>
      </w:pPr>
      <w:r>
        <w:t>Straight-line proximity is not walking distance, travel time or a safe route.</w:t>
      </w:r>
    </w:p>
    <w:p>
      <w:pPr>
        <w:pStyle w:val="ListBullet"/>
      </w:pPr>
      <w:r>
        <w:t>“Within a threshold” does not mean people are served because capacity and accessibility are not included.</w:t>
      </w:r>
    </w:p>
    <w:p>
      <w:pPr>
        <w:pStyle w:val="ListBullet"/>
      </w:pPr>
      <w:r>
        <w:t>RP20, RP50 and RP100 are static planning scenarios—not forecasts or current warnings.</w:t>
      </w:r>
    </w:p>
    <w:p>
      <w:pPr>
        <w:pStyle w:val="ListBullet"/>
      </w:pPr>
      <w:r>
        <w:t>Low/green risk does not mean safe.</w:t>
      </w:r>
    </w:p>
    <w:p>
      <w:r>
        <w:t>Do not enter personal information, operationally sensitive records or confidential facility information into the HTTP prototype.</w:t>
      </w:r>
    </w:p>
    <w:p>
      <w:pPr>
        <w:pStyle w:val="Heading1"/>
      </w:pPr>
      <w:r>
        <w:t>3. Open the prototype</w:t>
      </w:r>
    </w:p>
    <w:p>
      <w:pPr>
        <w:pStyle w:val="ListNumber"/>
      </w:pPr>
      <w:r>
        <w:t>Open http://18.139.74.142/ in a current desktop version of Chrome, Edge or Firefox.</w:t>
      </w:r>
    </w:p>
    <w:p>
      <w:pPr>
        <w:pStyle w:val="ListNumber"/>
      </w:pPr>
      <w:r>
        <w:t xml:space="preserve">If the previous interface appears, use </w:t>
      </w:r>
      <w:r>
        <w:rPr>
          <w:rFonts w:ascii="Consolas" w:hAnsi="Consolas"/>
          <w:sz w:val="18"/>
        </w:rPr>
        <w:t>Ctrl+F5</w:t>
      </w:r>
      <w:r>
        <w:t xml:space="preserve"> to hard-refresh.</w:t>
      </w:r>
    </w:p>
    <w:p>
      <w:pPr>
        <w:pStyle w:val="ListNumber"/>
      </w:pPr>
      <w:r>
        <w:t xml:space="preserve">Confirm the header says </w:t>
      </w:r>
      <w:r>
        <w:rPr>
          <w:b/>
        </w:rPr>
        <w:t>Evacuation preparedness planning</w:t>
      </w:r>
      <w:r>
        <w:t>.</w:t>
      </w:r>
    </w:p>
    <w:p>
      <w:pPr>
        <w:pStyle w:val="ListNumber"/>
      </w:pPr>
      <w:r>
        <w:t xml:space="preserve">Confirm the starting actions include </w:t>
      </w:r>
      <w:r>
        <w:rPr>
          <w:b/>
        </w:rPr>
        <w:t>Build preparedness investment case</w:t>
      </w:r>
      <w:r>
        <w:t xml:space="preserve"> and </w:t>
      </w:r>
      <w:r>
        <w:rPr>
          <w:b/>
        </w:rPr>
        <w:t>Review preparedness</w:t>
      </w:r>
      <w:r>
        <w:t>.</w:t>
      </w:r>
    </w:p>
    <w:p>
      <w:pPr>
        <w:pStyle w:val="ListNumber"/>
      </w:pPr>
      <w:r>
        <w:t xml:space="preserve">Use the </w:t>
      </w:r>
      <w:r>
        <w:rPr>
          <w:b/>
        </w:rPr>
        <w:t>+</w:t>
      </w:r>
      <w:r>
        <w:t xml:space="preserve"> button beside the assessment title to reset the demonstration at any time.</w:t>
      </w:r>
    </w:p>
    <w:p>
      <w:r>
        <w:t>For local review:</w:t>
      </w:r>
    </w:p>
    <w:p>
      <w:r>
        <w:rPr>
          <w:rFonts w:ascii="Consolas" w:hAnsi="Consolas"/>
          <w:sz w:val="17"/>
        </w:rPr>
        <w:t>cd prototype</w:t>
        <w:br/>
        <w:t>python -m http.server 8080</w:t>
      </w:r>
    </w:p>
    <w:p>
      <w:r>
        <w:t>Open http://localhost:8080.</w:t>
      </w:r>
    </w:p>
    <w:p>
      <w:pPr>
        <w:pStyle w:val="Heading1"/>
      </w:pPr>
      <w:r>
        <w:t>4. Screen orientation</w:t>
      </w:r>
    </w:p>
    <w:p>
      <w:pPr>
        <w:pStyle w:val="Heading2"/>
      </w:pPr>
      <w:r>
        <w:t>Left panel — planning assistant</w:t>
      </w:r>
    </w:p>
    <w:p>
      <w:r>
        <w:t>The assistant records the selected purpose, AOI and scenario and explains the current result. Reviewers can also ask questions in natural language.</w:t>
      </w:r>
    </w:p>
    <w:p>
      <w:pPr>
        <w:pStyle w:val="Heading2"/>
      </w:pPr>
      <w:r>
        <w:t>Right panel — map workspace</w:t>
      </w:r>
    </w:p>
    <w:p>
      <w:r>
        <w:t>The map workspace contains:</w:t>
      </w:r>
    </w:p>
    <w:p>
      <w:pPr>
        <w:pStyle w:val="ListBullet"/>
      </w:pPr>
      <w:r>
        <w:t>AOI selector;</w:t>
      </w:r>
    </w:p>
    <w:p>
      <w:pPr>
        <w:pStyle w:val="ListBullet"/>
      </w:pPr>
      <w:r>
        <w:t>static RP scenario information;</w:t>
      </w:r>
    </w:p>
    <w:p>
      <w:pPr>
        <w:pStyle w:val="ListBullet"/>
      </w:pPr>
      <w:r>
        <w:t>illustrative flood extent;</w:t>
      </w:r>
    </w:p>
    <w:p>
      <w:pPr>
        <w:pStyle w:val="ListBullet"/>
      </w:pPr>
      <w:r>
        <w:t>candidate-location markers C1–C5;</w:t>
      </w:r>
    </w:p>
    <w:p>
      <w:pPr>
        <w:pStyle w:val="ListBullet"/>
      </w:pPr>
      <w:r>
        <w:t>vulnerable-population zones V1–V4;</w:t>
      </w:r>
    </w:p>
    <w:p>
      <w:pPr>
        <w:pStyle w:val="ListBullet"/>
      </w:pPr>
      <w:r>
        <w:t>result panel with candidate and vulnerable-people views;</w:t>
      </w:r>
    </w:p>
    <w:p>
      <w:pPr>
        <w:pStyle w:val="ListBullet"/>
      </w:pPr>
      <w:r>
        <w:t>supporting risk-map view; and</w:t>
      </w:r>
    </w:p>
    <w:p>
      <w:pPr>
        <w:pStyle w:val="ListBullet"/>
      </w:pPr>
      <w:r>
        <w:t>evidence/download controls.</w:t>
      </w:r>
    </w:p>
    <w:p>
      <w:pPr>
        <w:pStyle w:val="Heading2"/>
      </w:pPr>
      <w:r>
        <w:t>Hide and restore information</w:t>
      </w:r>
    </w:p>
    <w:p>
      <w:r>
        <w:t xml:space="preserve">Select </w:t>
      </w:r>
      <w:r>
        <w:rPr>
          <w:b/>
        </w:rPr>
        <w:t>×</w:t>
      </w:r>
      <w:r>
        <w:t xml:space="preserve"> on the planning-information panel to expand the map. Select </w:t>
      </w:r>
      <w:r>
        <w:rPr>
          <w:b/>
        </w:rPr>
        <w:t>Show planning information</w:t>
      </w:r>
      <w:r>
        <w:t xml:space="preserve"> to restore the same active view. The candidate or vulnerable-people tab should remain selected.</w:t>
      </w:r>
    </w:p>
    <w:p>
      <w:pPr>
        <w:pStyle w:val="Heading1"/>
      </w:pPr>
      <w:r>
        <w:t>5. Recommended Phaya Thai review path</w:t>
      </w:r>
    </w:p>
    <w:p>
      <w:pPr>
        <w:pStyle w:val="Heading2"/>
      </w:pPr>
      <w:r>
        <w:t>Step 1 — frame the purpose</w:t>
      </w:r>
    </w:p>
    <w:p>
      <w:r>
        <w:t xml:space="preserve">Select </w:t>
      </w:r>
      <w:r>
        <w:rPr>
          <w:b/>
        </w:rPr>
        <w:t>Review preparedness</w:t>
      </w:r>
      <w:r>
        <w:t>.</w:t>
      </w:r>
    </w:p>
    <w:p>
      <w:r>
        <w:t>Expected response:</w:t>
      </w:r>
    </w:p>
    <w:p>
      <w:pPr>
        <w:pStyle w:val="ListBullet"/>
      </w:pPr>
      <w:r>
        <w:t>the assistant confirms the preparedness focus;</w:t>
      </w:r>
    </w:p>
    <w:p>
      <w:pPr>
        <w:pStyle w:val="ListBullet"/>
      </w:pPr>
      <w:r>
        <w:t>the AOI selector opens; and</w:t>
      </w:r>
    </w:p>
    <w:p>
      <w:pPr>
        <w:pStyle w:val="ListBullet"/>
      </w:pPr>
      <w:r>
        <w:t xml:space="preserve">no </w:t>
      </w:r>
      <w:r>
        <w:rPr>
          <w:rFonts w:ascii="Consolas" w:hAnsi="Consolas"/>
          <w:sz w:val="18"/>
        </w:rPr>
        <w:t>undefined</w:t>
      </w:r>
      <w:r>
        <w:t xml:space="preserve"> text appears.</w:t>
      </w:r>
    </w:p>
    <w:p>
      <w:r>
        <w:rPr>
          <w:b/>
        </w:rPr>
        <w:t>Reviewer questions</w:t>
      </w:r>
    </w:p>
    <w:p>
      <w:pPr>
        <w:pStyle w:val="ListBullet"/>
      </w:pPr>
      <w:r>
        <w:t>Are the starting choices understandable?</w:t>
      </w:r>
    </w:p>
    <w:p>
      <w:pPr>
        <w:pStyle w:val="ListBullet"/>
      </w:pPr>
      <w:r>
        <w:t>Is “Review preparedness” the right neutral entry point?</w:t>
      </w:r>
    </w:p>
    <w:p>
      <w:pPr>
        <w:pStyle w:val="ListBullet"/>
      </w:pPr>
      <w:r>
        <w:t>Does the first-phase scope appear early enough?</w:t>
      </w:r>
    </w:p>
    <w:p>
      <w:pPr>
        <w:pStyle w:val="Heading2"/>
      </w:pPr>
      <w:r>
        <w:t>Step 2 — select Phaya Thai District</w:t>
      </w:r>
    </w:p>
    <w:p>
      <w:r>
        <w:t xml:space="preserve">Select </w:t>
      </w:r>
      <w:r>
        <w:rPr>
          <w:b/>
        </w:rPr>
        <w:t>Phaya Thai District, Bangkok</w:t>
      </w:r>
      <w:r>
        <w:t>.</w:t>
      </w:r>
    </w:p>
    <w:p>
      <w:r>
        <w:t>Expected result:</w:t>
      </w:r>
    </w:p>
    <w:p>
      <w:pPr>
        <w:pStyle w:val="ListBullet"/>
      </w:pPr>
      <w:r>
        <w:t>AOI level: District;</w:t>
      </w:r>
    </w:p>
    <w:p>
      <w:pPr>
        <w:pStyle w:val="ListBullet"/>
      </w:pPr>
      <w:r>
        <w:t>real-name/mock-data warning remains visible;</w:t>
      </w:r>
    </w:p>
    <w:p>
      <w:pPr>
        <w:pStyle w:val="ListBullet"/>
      </w:pPr>
      <w:r>
        <w:t>RP100 is selected by default; and</w:t>
      </w:r>
    </w:p>
    <w:p>
      <w:pPr>
        <w:pStyle w:val="ListBullet"/>
      </w:pPr>
      <w:r>
        <w:t>the assistant asks the reviewer to confirm the static flood scenario.</w:t>
      </w:r>
    </w:p>
    <w:p>
      <w:r>
        <w:rPr>
          <w:b/>
        </w:rPr>
        <w:t>Reviewer questions</w:t>
      </w:r>
    </w:p>
    <w:p>
      <w:pPr>
        <w:pStyle w:val="ListBullet"/>
      </w:pPr>
      <w:r>
        <w:t>Is the distinction between real AOI name and mocked geometry clear?</w:t>
      </w:r>
    </w:p>
    <w:p>
      <w:pPr>
        <w:pStyle w:val="ListBullet"/>
      </w:pPr>
      <w:r>
        <w:t>Is “district or sub-district” the preferred terminology?</w:t>
      </w:r>
    </w:p>
    <w:p>
      <w:pPr>
        <w:pStyle w:val="ListBullet"/>
      </w:pPr>
      <w:r>
        <w:t>What authoritative AOI identifier and boundary source should production use?</w:t>
      </w:r>
    </w:p>
    <w:p>
      <w:pPr>
        <w:pStyle w:val="Heading2"/>
      </w:pPr>
      <w:r>
        <w:t>Step 3 — understand RP100</w:t>
      </w:r>
    </w:p>
    <w:p>
      <w:r>
        <w:t xml:space="preserve">Keep </w:t>
      </w:r>
      <w:r>
        <w:rPr>
          <w:b/>
        </w:rPr>
        <w:t>RP100</w:t>
      </w:r>
      <w:r>
        <w:t xml:space="preserve"> and select </w:t>
      </w:r>
      <w:r>
        <w:rPr>
          <w:b/>
        </w:rPr>
        <w:t>Confirm scenario &amp; run assessment</w:t>
      </w:r>
      <w:r>
        <w:t>.</w:t>
      </w:r>
    </w:p>
    <w:p>
      <w:r>
        <w:t>RP100 means a 100-year return-period flood scenario with a 1% annual exceedance probability. It does not mean the event occurs exactly once every 100 years.</w:t>
      </w:r>
    </w:p>
    <w:p>
      <w:r>
        <w:t>Expected RP100 demonstration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D3B43"/>
          </w:tcPr>
          <w:p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type="dxa" w:w="5083"/>
            <w:shd w:fill="0D3B43"/>
          </w:tcPr>
          <w:p>
            <w:r>
              <w:rPr>
                <w:b/>
                <w:color w:val="FFFFFF"/>
                <w:sz w:val="16"/>
              </w:rPr>
              <w:t>Illustrative 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People within displayed flood extent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18,640</w:t>
            </w:r>
          </w:p>
        </w:tc>
      </w:tr>
      <w:tr>
        <w:tc>
          <w:tcPr>
            <w:tcW w:type="dxa" w:w="5083"/>
            <w:vAlign w:val="center"/>
            <w:shd w:fill="F3F8F6"/>
          </w:tcPr>
          <w:p>
            <w:r>
              <w:rPr>
                <w:sz w:val="16"/>
              </w:rPr>
              <w:t>Candidate locations</w:t>
            </w:r>
          </w:p>
        </w:tc>
        <w:tc>
          <w:tcPr>
            <w:tcW w:type="dxa" w:w="5083"/>
            <w:vAlign w:val="center"/>
            <w:shd w:fill="F3F8F6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Vulnerable-population zones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5083"/>
            <w:vAlign w:val="center"/>
            <w:shd w:fill="F3F8F6"/>
          </w:tcPr>
          <w:p>
            <w:r>
              <w:rPr>
                <w:sz w:val="16"/>
              </w:rPr>
              <w:t>Vulnerability indicators</w:t>
            </w:r>
          </w:p>
        </w:tc>
        <w:tc>
          <w:tcPr>
            <w:tcW w:type="dxa" w:w="5083"/>
            <w:vAlign w:val="center"/>
            <w:shd w:fill="F3F8F6"/>
          </w:tcPr>
          <w:p>
            <w:r>
              <w:rPr>
                <w:sz w:val="16"/>
              </w:rPr>
              <w:t>4</w:t>
            </w:r>
          </w:p>
        </w:tc>
      </w:tr>
    </w:tbl>
    <w:p>
      <w:r>
        <w:rPr>
          <w:b/>
        </w:rPr>
        <w:t>Reviewer questions</w:t>
      </w:r>
    </w:p>
    <w:p>
      <w:pPr>
        <w:pStyle w:val="ListBullet"/>
      </w:pPr>
      <w:r>
        <w:t>Is the RP100/1% AEP explanation understandable?</w:t>
      </w:r>
    </w:p>
    <w:p>
      <w:pPr>
        <w:pStyle w:val="ListBullet"/>
      </w:pPr>
      <w:r>
        <w:t>Should the interface say “1% chance of being exceeded in any year” more prominently?</w:t>
      </w:r>
    </w:p>
    <w:p>
      <w:pPr>
        <w:pStyle w:val="ListBullet"/>
      </w:pPr>
      <w:r>
        <w:t>Which approved return-period products and versions should production use?</w:t>
      </w:r>
    </w:p>
    <w:p>
      <w:pPr>
        <w:pStyle w:val="Heading2"/>
      </w:pPr>
      <w:r>
        <w:t>Step 4 — review five candidate locations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95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haya-thai-candidate-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Candidate-location view for Phaya Thai District.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95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candidate-movement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Candidate C1 movement-information drawer; no validation status or suitability score.</w:t>
      </w:r>
    </w:p>
    <w:p>
      <w:r>
        <w:t xml:space="preserve">Open </w:t>
      </w:r>
      <w:r>
        <w:rPr>
          <w:b/>
        </w:rPr>
        <w:t>Where could people move?</w:t>
      </w:r>
      <w:r>
        <w:t>.</w:t>
      </w:r>
    </w:p>
    <w:p>
      <w:r>
        <w:t>The current candidate-location relationships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Candidate</w:t>
            </w:r>
          </w:p>
        </w:tc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Nearby illustrative zone</w:t>
            </w:r>
          </w:p>
        </w:tc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Movement-planning focus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C1 Candidate Stadium A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V1 child-support concentration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Family coordination, child-friendly transport and reunification</w:t>
            </w:r>
          </w:p>
        </w:tc>
      </w:tr>
      <w:tr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C2 Candidate School B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V2 older-people concentration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Mobility assistance, medication continuity and accessible transport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C3 Community Hall C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V3 disability-support concentration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Accessible vehicles, communication support and assistance teams</w:t>
            </w:r>
          </w:p>
        </w:tc>
      </w:tr>
      <w:tr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C4 Government Facility D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V4 low-mobility concentration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Pickup points, assisted movement and transport coordination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C5 Open Assembly Area 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V1 + V4 mixed focus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Family movement, staging and low-mobility transport</w:t>
            </w:r>
          </w:p>
        </w:tc>
      </w:tr>
    </w:tbl>
    <w:p>
      <w:r>
        <w:t>Select C1 and inspect the drawer.</w:t>
      </w:r>
    </w:p>
    <w:p>
      <w:r>
        <w:t>Expected content:</w:t>
      </w:r>
    </w:p>
    <w:p>
      <w:pPr>
        <w:pStyle w:val="ListBullet"/>
      </w:pPr>
      <w:r>
        <w:t>candidate ID and illustrative facility type;</w:t>
      </w:r>
    </w:p>
    <w:p>
      <w:pPr>
        <w:pStyle w:val="ListBullet"/>
      </w:pPr>
      <w:r>
        <w:t>nearby aggregated vulnerable zone;</w:t>
      </w:r>
    </w:p>
    <w:p>
      <w:pPr>
        <w:pStyle w:val="ListBullet"/>
      </w:pPr>
      <w:r>
        <w:t>movement-planning focus;</w:t>
      </w:r>
    </w:p>
    <w:p>
      <w:pPr>
        <w:pStyle w:val="ListBullet"/>
      </w:pPr>
      <w:r>
        <w:t>no individual/household locations; and</w:t>
      </w:r>
    </w:p>
    <w:p>
      <w:pPr>
        <w:pStyle w:val="ListBullet"/>
      </w:pPr>
      <w:r>
        <w:t>suitability, capacity and official status explicitly outside this first phase.</w:t>
      </w:r>
    </w:p>
    <w:p>
      <w:r>
        <w:rPr>
          <w:b/>
        </w:rPr>
        <w:t>Reviewer questions</w:t>
      </w:r>
    </w:p>
    <w:p>
      <w:pPr>
        <w:pStyle w:val="ListBullet"/>
      </w:pPr>
      <w:r>
        <w:t>Does each candidate provide enough first-phase information?</w:t>
      </w:r>
    </w:p>
    <w:p>
      <w:pPr>
        <w:pStyle w:val="ListBullet"/>
      </w:pPr>
      <w:r>
        <w:t>Is the relationship between candidate location and vulnerable group clear?</w:t>
      </w:r>
    </w:p>
    <w:p>
      <w:pPr>
        <w:pStyle w:val="ListBullet"/>
      </w:pPr>
      <w:r>
        <w:t>Is any wording still incorrectly suggesting safety, capacity or approval?</w:t>
      </w:r>
    </w:p>
    <w:p>
      <w:pPr>
        <w:pStyle w:val="ListBullet"/>
      </w:pPr>
      <w:r>
        <w:t>What additional movement-planning field should be introduced next?</w:t>
      </w:r>
    </w:p>
    <w:p>
      <w:pPr>
        <w:pStyle w:val="Heading2"/>
      </w:pPr>
      <w:r>
        <w:t>Step 5 — review the vulnerable-people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95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haya-thai-vulnerable-people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V1–V4 aggregated vulnerable-population zones and indicator chart.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956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haya-thai-expanded-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Expanded vulnerable-people map with reversible Show planning information control.</w:t>
      </w:r>
    </w:p>
    <w:p>
      <w:r>
        <w:t xml:space="preserve">Close the candidate drawer and select </w:t>
      </w:r>
      <w:r>
        <w:rPr>
          <w:b/>
        </w:rPr>
        <w:t>Vulnerable people</w:t>
      </w:r>
      <w:r>
        <w:t>.</w:t>
      </w:r>
    </w:p>
    <w:p>
      <w:r>
        <w:t>Expected map behaviour:</w:t>
      </w:r>
    </w:p>
    <w:p>
      <w:pPr>
        <w:pStyle w:val="ListBullet"/>
      </w:pPr>
      <w:r>
        <w:t>four purple hatched aggregated zones V1–V4 appear;</w:t>
      </w:r>
    </w:p>
    <w:p>
      <w:pPr>
        <w:pStyle w:val="ListBullet"/>
      </w:pPr>
      <w:r>
        <w:t>candidate markers remain visible but secondary;</w:t>
      </w:r>
    </w:p>
    <w:p>
      <w:pPr>
        <w:pStyle w:val="ListBullet"/>
      </w:pPr>
      <w:r>
        <w:t>the legend explains the vulnerable-population layer;</w:t>
      </w:r>
    </w:p>
    <w:p>
      <w:pPr>
        <w:pStyle w:val="ListBullet"/>
      </w:pPr>
      <w:r>
        <w:t>the flood layer remains supporting context; and</w:t>
      </w:r>
    </w:p>
    <w:p>
      <w:pPr>
        <w:pStyle w:val="ListBullet"/>
      </w:pPr>
      <w:r>
        <w:t>no individual or household point is shown.</w:t>
      </w:r>
    </w:p>
    <w:p>
      <w:r>
        <w:t xml:space="preserve">Select a purple zone to inspect its information. Use </w:t>
      </w:r>
      <w:r>
        <w:rPr>
          <w:b/>
        </w:rPr>
        <w:t>×</w:t>
      </w:r>
      <w:r>
        <w:t xml:space="preserve"> on the planning panel to expand the map, then use </w:t>
      </w:r>
      <w:r>
        <w:rPr>
          <w:b/>
        </w:rPr>
        <w:t>Show planning information</w:t>
      </w:r>
      <w:r>
        <w:t xml:space="preserve"> to return.</w:t>
      </w:r>
    </w:p>
    <w:p>
      <w:r>
        <w:rPr>
          <w:b/>
        </w:rPr>
        <w:t>Reviewer questions</w:t>
      </w:r>
    </w:p>
    <w:p>
      <w:pPr>
        <w:pStyle w:val="ListBullet"/>
      </w:pPr>
      <w:r>
        <w:t>Are V1–V4 visible and understandable without relying only on colour?</w:t>
      </w:r>
    </w:p>
    <w:p>
      <w:pPr>
        <w:pStyle w:val="ListBullet"/>
      </w:pPr>
      <w:r>
        <w:t>Is the aggregation/privacy warning clear?</w:t>
      </w:r>
    </w:p>
    <w:p>
      <w:pPr>
        <w:pStyle w:val="ListBullet"/>
      </w:pPr>
      <w:r>
        <w:t>Are four zones sufficient for the discussion?</w:t>
      </w:r>
    </w:p>
    <w:p>
      <w:pPr>
        <w:pStyle w:val="ListBullet"/>
      </w:pPr>
      <w:r>
        <w:t>What spatial aggregation level should production use?</w:t>
      </w:r>
    </w:p>
    <w:p>
      <w:pPr>
        <w:pStyle w:val="Heading2"/>
      </w:pPr>
      <w:r>
        <w:t>Step 6 — review the vulnerability bar chart</w:t>
      </w:r>
    </w:p>
    <w:p>
      <w:r>
        <w:t>In the Vulnerable people view, review the horizontal bar chart.</w:t>
      </w:r>
    </w:p>
    <w:p>
      <w:r>
        <w:t>Expected RP100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Illustrative value</w:t>
            </w:r>
          </w:p>
        </w:tc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Unit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Children aged 0–14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3,920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People estimate</w:t>
            </w:r>
          </w:p>
        </w:tc>
      </w:tr>
      <w:tr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Older people aged 65+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2,760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People estimate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Disability-related support needs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930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People estimate</w:t>
            </w:r>
          </w:p>
        </w:tc>
      </w:tr>
      <w:tr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Low-mobility households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1,480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Household estimate</w:t>
            </w:r>
          </w:p>
        </w:tc>
      </w:tr>
    </w:tbl>
    <w:p>
      <w:r>
        <w:t>The chart labels every bar and does not rely on colour alone. It states that categories may overlap and that the low-mobility measure uses a different unit.</w:t>
      </w:r>
    </w:p>
    <w:p>
      <w:r>
        <w:t>Change to RP20 and RP50 if time permits. The chart and cards should update consistently.</w:t>
      </w:r>
    </w:p>
    <w:p>
      <w:r>
        <w:rPr>
          <w:b/>
        </w:rPr>
        <w:t>Reviewer questions</w:t>
      </w:r>
    </w:p>
    <w:p>
      <w:pPr>
        <w:pStyle w:val="ListBullet"/>
      </w:pPr>
      <w:r>
        <w:t>Are the labels and units clear?</w:t>
      </w:r>
    </w:p>
    <w:p>
      <w:pPr>
        <w:pStyle w:val="ListBullet"/>
      </w:pPr>
      <w:r>
        <w:t>Should households and people appear in one chart or separate charts?</w:t>
      </w:r>
    </w:p>
    <w:p>
      <w:pPr>
        <w:pStyle w:val="ListBullet"/>
      </w:pPr>
      <w:r>
        <w:t>Which vulnerability indicators and definitions are approved?</w:t>
      </w:r>
    </w:p>
    <w:p>
      <w:pPr>
        <w:pStyle w:val="ListBullet"/>
      </w:pPr>
      <w:r>
        <w:t>What privacy and minimum-aggregation rules are required?</w:t>
      </w:r>
    </w:p>
    <w:p>
      <w:pPr>
        <w:pStyle w:val="Heading2"/>
      </w:pPr>
      <w:r>
        <w:t>Step 7 — review shelter proximity and population gaps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95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helter-proximity-ga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Shelter-proximity headline, selectable threshold and distance-band results.</w:t>
      </w:r>
    </w:p>
    <w:p>
      <w:r>
        <w:t xml:space="preserve">Select </w:t>
      </w:r>
      <w:r>
        <w:rPr>
          <w:b/>
        </w:rPr>
        <w:t>Shelter proximity and population gaps</w:t>
      </w:r>
      <w:r>
        <w:t xml:space="preserve"> below the vulnerability indicators.</w:t>
      </w:r>
    </w:p>
    <w:p>
      <w:r>
        <w:t>Expected default headline:</w:t>
      </w:r>
    </w:p>
    <w:p>
      <w:pPr>
        <w:spacing w:before="80" w:after="140"/>
        <w:ind w:left="432" w:right="288"/>
      </w:pPr>
      <w:r>
        <w:t>11,240 people are farther than 1 km from a candidate shelter.</w:t>
      </w:r>
    </w:p>
    <w:p>
      <w:r>
        <w:t>Expected RP100 distance bands: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Distance to nearest candidate shelter</w:t>
            </w:r>
          </w:p>
        </w:tc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People</w:t>
            </w:r>
          </w:p>
        </w:tc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Percentage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Within 500 m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1,980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10.6%</w:t>
            </w:r>
          </w:p>
        </w:tc>
      </w:tr>
      <w:tr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500 m–1 km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5,420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29.1%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1–2 km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7,090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38.0%</w:t>
            </w:r>
          </w:p>
        </w:tc>
      </w:tr>
      <w:tr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More than 2 km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4,150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22.3%</w:t>
            </w:r>
          </w:p>
        </w:tc>
      </w:tr>
    </w:tbl>
    <w:p>
      <w:r>
        <w:t>Test each threshold: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Selected threshold</w:t>
            </w:r>
          </w:p>
        </w:tc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People beyond threshold</w:t>
            </w:r>
          </w:p>
        </w:tc>
        <w:tc>
          <w:tcPr>
            <w:tcW w:type="dxa" w:w="3389"/>
            <w:shd w:fill="0D3B43"/>
          </w:tcPr>
          <w:p>
            <w:r>
              <w:rPr>
                <w:b/>
                <w:color w:val="FFFFFF"/>
                <w:sz w:val="16"/>
              </w:rPr>
              <w:t>Priority areas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500 m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16,660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1 km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11,240</w:t>
            </w:r>
          </w:p>
        </w:tc>
        <w:tc>
          <w:tcPr>
            <w:tcW w:type="dxa" w:w="3389"/>
            <w:vAlign w:val="center"/>
            <w:shd w:fill="F3F8F6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2 km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4,150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1</w:t>
            </w:r>
          </w:p>
        </w:tc>
      </w:tr>
    </w:tbl>
    <w:p>
      <w:r>
        <w:t>The interface must state that the threshold is a planning assumption, not an official universal standard.</w:t>
      </w:r>
    </w:p>
    <w:p>
      <w:r>
        <w:rPr>
          <w:b/>
        </w:rPr>
        <w:t>Reviewer questions</w:t>
      </w:r>
    </w:p>
    <w:p>
      <w:pPr>
        <w:pStyle w:val="ListBullet"/>
      </w:pPr>
      <w:r>
        <w:t>Is people beyond the threshold the correct headline?</w:t>
      </w:r>
    </w:p>
    <w:p>
      <w:pPr>
        <w:pStyle w:val="ListBullet"/>
      </w:pPr>
      <w:r>
        <w:t>Which threshold is meaningful in Thailand and in what context?</w:t>
      </w:r>
    </w:p>
    <w:p>
      <w:pPr>
        <w:pStyle w:val="ListBullet"/>
      </w:pPr>
      <w:r>
        <w:t>Should production use straight-line distance, network distance or travel time?</w:t>
      </w:r>
    </w:p>
    <w:p>
      <w:pPr>
        <w:pStyle w:val="ListBullet"/>
      </w:pPr>
      <w:r>
        <w:t>Should the next increment add population cells and proximity radii to the map?</w:t>
      </w:r>
    </w:p>
    <w:p>
      <w:pPr>
        <w:pStyle w:val="Heading2"/>
      </w:pPr>
      <w:r>
        <w:t>Step 8 — build the preparedness investment brief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956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eparedness-investment-brie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Preparedness investment brief purpose and eight suggested sections.</w:t>
      </w:r>
    </w:p>
    <w:p>
      <w:r>
        <w:t xml:space="preserve">Close the proximity drawer and select </w:t>
      </w:r>
      <w:r>
        <w:rPr>
          <w:b/>
        </w:rPr>
        <w:t>Investment brief</w:t>
      </w:r>
      <w:r>
        <w:t>.</w:t>
      </w:r>
    </w:p>
    <w:p>
      <w:r>
        <w:t>Expected title:</w:t>
      </w:r>
    </w:p>
    <w:p>
      <w:pPr>
        <w:spacing w:before="80" w:after="140"/>
        <w:ind w:left="432" w:right="288"/>
      </w:pPr>
      <w:r>
        <w:t>Build the case for preparedness investment</w:t>
      </w:r>
    </w:p>
    <w:p>
      <w:r>
        <w:t>Expected supporting text:</w:t>
      </w:r>
    </w:p>
    <w:p>
      <w:pPr>
        <w:spacing w:before="80" w:after="140"/>
        <w:ind w:left="432" w:right="288"/>
      </w:pPr>
      <w:r>
        <w:t>Turn population, vulnerability and shelter-proximity gaps into strategic guidance for funding discussions.</w:t>
      </w:r>
    </w:p>
    <w:p>
      <w:r>
        <w:t xml:space="preserve">Confirm the purpose is </w:t>
      </w:r>
      <w:r>
        <w:rPr>
          <w:b/>
        </w:rPr>
        <w:t>Preparedness investment planning</w:t>
      </w:r>
      <w:r>
        <w:t xml:space="preserve"> and review the eight sections:</w:t>
      </w:r>
    </w:p>
    <w:p>
      <w:pPr>
        <w:pStyle w:val="ListNumber"/>
      </w:pPr>
      <w:r>
        <w:t>Executive summary;</w:t>
      </w:r>
    </w:p>
    <w:p>
      <w:pPr>
        <w:pStyle w:val="ListNumber"/>
      </w:pPr>
      <w:r>
        <w:t>Planning problem and supporting evidence;</w:t>
      </w:r>
    </w:p>
    <w:p>
      <w:pPr>
        <w:pStyle w:val="ListNumber"/>
      </w:pPr>
      <w:r>
        <w:t>Population and vulnerability context;</w:t>
      </w:r>
    </w:p>
    <w:p>
      <w:pPr>
        <w:pStyle w:val="ListNumber"/>
      </w:pPr>
      <w:r>
        <w:t>Shelter-proximity gaps;</w:t>
      </w:r>
    </w:p>
    <w:p>
      <w:pPr>
        <w:pStyle w:val="ListNumber"/>
      </w:pPr>
      <w:r>
        <w:t>Priority preparedness actions;</w:t>
      </w:r>
    </w:p>
    <w:p>
      <w:pPr>
        <w:pStyle w:val="ListNumber"/>
      </w:pPr>
      <w:r>
        <w:t>Indicative investment options;</w:t>
      </w:r>
    </w:p>
    <w:p>
      <w:pPr>
        <w:pStyle w:val="ListNumber"/>
      </w:pPr>
      <w:r>
        <w:t>Evidence and limitations; and</w:t>
      </w:r>
    </w:p>
    <w:p>
      <w:pPr>
        <w:pStyle w:val="ListNumber"/>
      </w:pPr>
      <w:r>
        <w:t>Supporting map appendix.</w:t>
      </w:r>
    </w:p>
    <w:p>
      <w:r>
        <w:t xml:space="preserve">Select </w:t>
      </w:r>
      <w:r>
        <w:rPr>
          <w:b/>
        </w:rPr>
        <w:t>Generate editable investment brief</w:t>
      </w:r>
      <w:r>
        <w:t>. The browser should download:</w:t>
      </w:r>
    </w:p>
    <w:p>
      <w:r>
        <w:rPr>
          <w:rFonts w:ascii="Consolas" w:hAnsi="Consolas"/>
          <w:sz w:val="18"/>
        </w:rPr>
        <w:t>Phaya_Thai_District_RP100_Preparedness_Investment_Brief.doc</w:t>
      </w:r>
    </w:p>
    <w:p>
      <w:r>
        <w:t>The brief supports an investment discussion. It is not an automated funding decision, cost estimate or formal approval.</w:t>
      </w:r>
    </w:p>
    <w:p>
      <w:r>
        <w:rPr>
          <w:b/>
        </w:rPr>
        <w:t>Reviewer questions</w:t>
      </w:r>
    </w:p>
    <w:p>
      <w:pPr>
        <w:pStyle w:val="ListBullet"/>
      </w:pPr>
      <w:r>
        <w:t>Are the section names suitable for funding discussions?</w:t>
      </w:r>
    </w:p>
    <w:p>
      <w:pPr>
        <w:pStyle w:val="ListBullet"/>
      </w:pPr>
      <w:r>
        <w:t>Which standard template and investment categories should be used?</w:t>
      </w:r>
    </w:p>
    <w:p>
      <w:pPr>
        <w:pStyle w:val="ListBullet"/>
      </w:pPr>
      <w:r>
        <w:t>What costing, ownership and prioritisation fields belong in the next phase?</w:t>
      </w:r>
    </w:p>
    <w:p>
      <w:pPr>
        <w:pStyle w:val="ListBullet"/>
      </w:pPr>
      <w:r>
        <w:t>Is the boundary between strategic guidance and formal funding approval clear?</w:t>
      </w:r>
    </w:p>
    <w:p>
      <w:pPr>
        <w:pStyle w:val="Heading2"/>
      </w:pPr>
      <w:r>
        <w:t>Step 9 — inspect the supporting H/M/L risk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956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upporting-risk-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Supporting H/M/L risk-map view; low/green does not mean safe.</w:t>
      </w:r>
    </w:p>
    <w:p>
      <w:r>
        <w:t xml:space="preserve">Select </w:t>
      </w:r>
      <w:r>
        <w:rPr>
          <w:b/>
        </w:rPr>
        <w:t>Risk map</w:t>
      </w:r>
      <w:r>
        <w:t xml:space="preserve"> or </w:t>
      </w:r>
      <w:r>
        <w:rPr>
          <w:b/>
        </w:rPr>
        <w:t>View risk map</w:t>
      </w:r>
      <w:r>
        <w:t>.</w:t>
      </w:r>
    </w:p>
    <w:p>
      <w:r>
        <w:t>Expected behaviour:</w:t>
      </w:r>
    </w:p>
    <w:p>
      <w:pPr>
        <w:pStyle w:val="ListBullet"/>
      </w:pPr>
      <w:r>
        <w:t>H/red, M/yellow and L/green use both colour and letter labels;</w:t>
      </w:r>
    </w:p>
    <w:p>
      <w:pPr>
        <w:pStyle w:val="ListBullet"/>
      </w:pPr>
      <w:r>
        <w:t>the map is presented as further information; and</w:t>
      </w:r>
    </w:p>
    <w:p>
      <w:pPr>
        <w:pStyle w:val="ListBullet"/>
      </w:pPr>
      <w:r>
        <w:t>low/green explicitly does not mean safe.</w:t>
      </w:r>
    </w:p>
    <w:p>
      <w:r>
        <w:t>Available prototype downloads include SVG, GeoJSON and JSON evidence. PNG and GeoTIFF remain future production-renderer outputs.</w:t>
      </w:r>
    </w:p>
    <w:p>
      <w:r>
        <w:rPr>
          <w:b/>
        </w:rPr>
        <w:t>Reviewer questions</w:t>
      </w:r>
    </w:p>
    <w:p>
      <w:pPr>
        <w:pStyle w:val="ListBullet"/>
      </w:pPr>
      <w:r>
        <w:t>Is the risk map correctly secondary to candidate and vulnerable-people views?</w:t>
      </w:r>
    </w:p>
    <w:p>
      <w:pPr>
        <w:pStyle w:val="ListBullet"/>
      </w:pPr>
      <w:r>
        <w:t>Are the H/M/L semantics clear?</w:t>
      </w:r>
    </w:p>
    <w:p>
      <w:pPr>
        <w:pStyle w:val="ListBullet"/>
      </w:pPr>
      <w:r>
        <w:t>What approved method, thresholds and provenance should production use?</w:t>
      </w:r>
    </w:p>
    <w:p>
      <w:pPr>
        <w:pStyle w:val="Heading2"/>
      </w:pPr>
      <w:r>
        <w:t>Step 10 — inspect upload guidance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956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pload-format-guid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Raster and vector upload-format guidance.</w:t>
      </w:r>
    </w:p>
    <w:p>
      <w:r>
        <w:t xml:space="preserve">Select </w:t>
      </w:r>
      <w:r>
        <w:rPr>
          <w:b/>
        </w:rPr>
        <w:t>Upload</w:t>
      </w:r>
      <w:r>
        <w:t>.</w:t>
      </w:r>
    </w:p>
    <w:p>
      <w:r>
        <w:t>Expected guidance:</w:t>
      </w:r>
    </w:p>
    <w:p>
      <w:r>
        <w:rPr>
          <w:b/>
        </w:rPr>
        <w:t>Raster</w:t>
      </w:r>
    </w:p>
    <w:p>
      <w:pPr>
        <w:pStyle w:val="ListBullet"/>
      </w:pPr>
      <w:r>
        <w:rPr>
          <w:rFonts w:ascii="Consolas" w:hAnsi="Consolas"/>
          <w:sz w:val="18"/>
        </w:rPr>
        <w:t>.tif</w:t>
      </w:r>
      <w:r>
        <w:t xml:space="preserve"> and </w:t>
      </w:r>
      <w:r>
        <w:rPr>
          <w:rFonts w:ascii="Consolas" w:hAnsi="Consolas"/>
          <w:sz w:val="18"/>
        </w:rPr>
        <w:t>.tiff</w:t>
      </w:r>
      <w:r>
        <w:t xml:space="preserve"> GeoTIFF, preferably with CRS and georeferencing.</w:t>
      </w:r>
    </w:p>
    <w:p>
      <w:r>
        <w:rPr>
          <w:b/>
        </w:rPr>
        <w:t>Vector</w:t>
      </w:r>
    </w:p>
    <w:p>
      <w:pPr>
        <w:pStyle w:val="ListBullet"/>
      </w:pPr>
      <w:r>
        <w:t xml:space="preserve">zipped Shapefile containing </w:t>
      </w:r>
      <w:r>
        <w:rPr>
          <w:rFonts w:ascii="Consolas" w:hAnsi="Consolas"/>
          <w:sz w:val="18"/>
        </w:rPr>
        <w:t>.shp</w:t>
      </w:r>
      <w:r>
        <w:t xml:space="preserve">, </w:t>
      </w:r>
      <w:r>
        <w:rPr>
          <w:rFonts w:ascii="Consolas" w:hAnsi="Consolas"/>
          <w:sz w:val="18"/>
        </w:rPr>
        <w:t>.shx</w:t>
      </w:r>
      <w:r>
        <w:t xml:space="preserve">, </w:t>
      </w:r>
      <w:r>
        <w:rPr>
          <w:rFonts w:ascii="Consolas" w:hAnsi="Consolas"/>
          <w:sz w:val="18"/>
        </w:rPr>
        <w:t>.dbf</w:t>
      </w:r>
      <w:r>
        <w:t xml:space="preserve"> and preferably </w:t>
      </w:r>
      <w:r>
        <w:rPr>
          <w:rFonts w:ascii="Consolas" w:hAnsi="Consolas"/>
          <w:sz w:val="18"/>
        </w:rPr>
        <w:t>.prj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.geojson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.kml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.kmz</w:t>
      </w:r>
      <w:r>
        <w:t>; and</w:t>
      </w:r>
    </w:p>
    <w:p>
      <w:pPr>
        <w:pStyle w:val="ListBullet"/>
      </w:pPr>
      <w:r>
        <w:t xml:space="preserve">zipped </w:t>
      </w:r>
      <w:r>
        <w:rPr>
          <w:rFonts w:ascii="Consolas" w:hAnsi="Consolas"/>
          <w:sz w:val="18"/>
        </w:rPr>
        <w:t>.gdb</w:t>
      </w:r>
      <w:r>
        <w:t xml:space="preserve"> File Geodatabase directory.</w:t>
      </w:r>
    </w:p>
    <w:p>
      <w:r>
        <w:t>The prototype only simulates ingestion and schema checks.</w:t>
      </w:r>
    </w:p>
    <w:p>
      <w:r>
        <w:rPr>
          <w:b/>
        </w:rPr>
        <w:t>Reviewer questions</w:t>
      </w:r>
    </w:p>
    <w:p>
      <w:pPr>
        <w:pStyle w:val="ListBullet"/>
      </w:pPr>
      <w:r>
        <w:t>Which formats must Release 1 genuinely process?</w:t>
      </w:r>
    </w:p>
    <w:p>
      <w:pPr>
        <w:pStyle w:val="ListBullet"/>
      </w:pPr>
      <w:r>
        <w:t>What schemas, CRS rules, size limits and required attributes apply?</w:t>
      </w:r>
    </w:p>
    <w:p>
      <w:pPr>
        <w:pStyle w:val="ListBullet"/>
      </w:pPr>
      <w:r>
        <w:t>What provenance, source, licence and date must users provide?</w:t>
      </w:r>
    </w:p>
    <w:p>
      <w:pPr>
        <w:pStyle w:val="Heading1"/>
      </w:pPr>
      <w:r>
        <w:t>6. Natural-language review tests</w:t>
      </w:r>
    </w:p>
    <w:p>
      <w:r>
        <w:t>After running the Phaya Thai assessment, test:</w:t>
      </w:r>
    </w:p>
    <w:p>
      <w:pPr>
        <w:pStyle w:val="ListBullet"/>
      </w:pPr>
      <w:r>
        <w:t>“Where could people move?”</w:t>
      </w:r>
    </w:p>
    <w:p>
      <w:pPr>
        <w:pStyle w:val="ListBullet"/>
      </w:pPr>
      <w:r>
        <w:t>“Where are vulnerable people?”</w:t>
      </w:r>
    </w:p>
    <w:p>
      <w:pPr>
        <w:pStyle w:val="ListBullet"/>
      </w:pPr>
      <w:r>
        <w:t>“Show children and older people.”</w:t>
      </w:r>
    </w:p>
    <w:p>
      <w:pPr>
        <w:pStyle w:val="ListBullet"/>
      </w:pPr>
      <w:r>
        <w:t>“Show the shelter-proximity gaps.”</w:t>
      </w:r>
    </w:p>
    <w:p>
      <w:pPr>
        <w:pStyle w:val="ListBullet"/>
      </w:pPr>
      <w:r>
        <w:t>“Build a preparedness investment brief.”</w:t>
      </w:r>
    </w:p>
    <w:p>
      <w:pPr>
        <w:pStyle w:val="ListBullet"/>
      </w:pPr>
      <w:r>
        <w:t>“Show the risk map.”</w:t>
      </w:r>
    </w:p>
    <w:p>
      <w:pPr>
        <w:pStyle w:val="ListBullet"/>
      </w:pPr>
      <w:r>
        <w:t>“Which candidate shelter is safe?”</w:t>
      </w:r>
    </w:p>
    <w:p>
      <w:r>
        <w:t>Expected safe-place response: the assistant must not certify any candidate as safe, suitable or approved.</w:t>
      </w:r>
    </w:p>
    <w:p>
      <w:pPr>
        <w:pStyle w:val="Heading1"/>
      </w:pPr>
      <w:r>
        <w:t>7. Reviewer comment method</w:t>
      </w:r>
    </w:p>
    <w:p>
      <w:r>
        <w:t>When reviewing through Google Slides, Google Docs or an issue tracker, use these prefixes:</w:t>
      </w:r>
    </w:p>
    <w:p>
      <w:pPr>
        <w:pStyle w:val="ListBullet"/>
      </w:pPr>
      <w:r>
        <w:rPr>
          <w:b/>
        </w:rPr>
        <w:t>[UX]</w:t>
      </w:r>
      <w:r>
        <w:t xml:space="preserve"> workflow, labels, comprehension or accessibility;</w:t>
      </w:r>
    </w:p>
    <w:p>
      <w:pPr>
        <w:pStyle w:val="ListBullet"/>
      </w:pPr>
      <w:r>
        <w:rPr>
          <w:b/>
        </w:rPr>
        <w:t>[DATA]</w:t>
      </w:r>
      <w:r>
        <w:t xml:space="preserve"> source, identifier, vintage, licence or coverage;</w:t>
      </w:r>
    </w:p>
    <w:p>
      <w:pPr>
        <w:pStyle w:val="ListBullet"/>
      </w:pPr>
      <w:r>
        <w:rPr>
          <w:b/>
        </w:rPr>
        <w:t>[METHOD]</w:t>
      </w:r>
      <w:r>
        <w:t xml:space="preserve"> scenario, aggregation, proximity or classification method;</w:t>
      </w:r>
    </w:p>
    <w:p>
      <w:pPr>
        <w:pStyle w:val="ListBullet"/>
      </w:pPr>
      <w:r>
        <w:rPr>
          <w:b/>
        </w:rPr>
        <w:t>[PRIVACY]</w:t>
      </w:r>
      <w:r>
        <w:t xml:space="preserve"> vulnerable-population protection and aggregation;</w:t>
      </w:r>
    </w:p>
    <w:p>
      <w:pPr>
        <w:pStyle w:val="ListBullet"/>
      </w:pPr>
      <w:r>
        <w:rPr>
          <w:b/>
        </w:rPr>
        <w:t>[INVESTMENT]</w:t>
      </w:r>
      <w:r>
        <w:t xml:space="preserve"> strategic guidance, action or funding category;</w:t>
      </w:r>
    </w:p>
    <w:p>
      <w:pPr>
        <w:pStyle w:val="ListBullet"/>
      </w:pPr>
      <w:r>
        <w:rPr>
          <w:b/>
        </w:rPr>
        <w:t>[PLATFORM]</w:t>
      </w:r>
      <w:r>
        <w:t xml:space="preserve"> runtime, integration, deployment or shared service;</w:t>
      </w:r>
    </w:p>
    <w:p>
      <w:pPr>
        <w:pStyle w:val="ListBullet"/>
      </w:pPr>
      <w:r>
        <w:rPr>
          <w:b/>
        </w:rPr>
        <w:t>[DECISION]</w:t>
      </w:r>
      <w:r>
        <w:t xml:space="preserve"> explicit choice required;</w:t>
      </w:r>
    </w:p>
    <w:p>
      <w:pPr>
        <w:pStyle w:val="ListBullet"/>
      </w:pPr>
      <w:r>
        <w:rPr>
          <w:b/>
        </w:rPr>
        <w:t>[QUESTION]</w:t>
      </w:r>
      <w:r>
        <w:t xml:space="preserve"> clarification required.</w:t>
      </w:r>
    </w:p>
    <w:p>
      <w:r>
        <w:t>A useful comment includes:</w:t>
      </w:r>
    </w:p>
    <w:p>
      <w:pPr>
        <w:pStyle w:val="ListNumber"/>
      </w:pPr>
      <w:r>
        <w:t>prototype step or screen;</w:t>
      </w:r>
    </w:p>
    <w:p>
      <w:pPr>
        <w:pStyle w:val="ListNumber"/>
      </w:pPr>
      <w:r>
        <w:t>expected behaviour;</w:t>
      </w:r>
    </w:p>
    <w:p>
      <w:pPr>
        <w:pStyle w:val="ListNumber"/>
      </w:pPr>
      <w:r>
        <w:t>observed behaviour;</w:t>
      </w:r>
    </w:p>
    <w:p>
      <w:pPr>
        <w:pStyle w:val="ListNumber"/>
      </w:pPr>
      <w:r>
        <w:t>recommended change;</w:t>
      </w:r>
    </w:p>
    <w:p>
      <w:pPr>
        <w:pStyle w:val="ListNumber"/>
      </w:pPr>
      <w:r>
        <w:t>Release 1 impact;</w:t>
      </w:r>
    </w:p>
    <w:p>
      <w:pPr>
        <w:pStyle w:val="ListNumber"/>
      </w:pPr>
      <w:r>
        <w:t>proposed owner or source, if known.</w:t>
      </w:r>
    </w:p>
    <w:p>
      <w:r>
        <w:t>Example:</w:t>
      </w:r>
    </w:p>
    <w:p>
      <w:pPr>
        <w:spacing w:before="80" w:after="140"/>
        <w:ind w:left="432" w:right="288"/>
      </w:pPr>
      <w:r>
        <w:t>[METHOD] Shelter proximity: 1 km is currently a selectable planning assumption. Please identify the policy or study supporting the production threshold and whether urban/rural thresholds should differ. Release 1 blocker: yes. Proposed owner: method lead.</w:t>
      </w:r>
    </w:p>
    <w:p>
      <w:pPr>
        <w:pStyle w:val="Heading1"/>
      </w:pPr>
      <w:r>
        <w:t>8. Reviewer completion checklist</w:t>
      </w:r>
    </w:p>
    <w:p>
      <w:pPr>
        <w:pStyle w:val="ListBullet"/>
      </w:pPr>
      <w:r>
        <w:t>☐ I opened the current prototype and confirmed the first-phase label.</w:t>
      </w:r>
    </w:p>
    <w:p>
      <w:pPr>
        <w:pStyle w:val="ListBullet"/>
      </w:pPr>
      <w:r>
        <w:t>☐ I selected Phaya Thai District.</w:t>
      </w:r>
    </w:p>
    <w:p>
      <w:pPr>
        <w:pStyle w:val="ListBullet"/>
      </w:pPr>
      <w:r>
        <w:t>☐ I ran RP100 and understood 1% AEP.</w:t>
      </w:r>
    </w:p>
    <w:p>
      <w:pPr>
        <w:pStyle w:val="ListBullet"/>
      </w:pPr>
      <w:r>
        <w:t>☐ I reviewed all five candidate locations.</w:t>
      </w:r>
    </w:p>
    <w:p>
      <w:pPr>
        <w:pStyle w:val="ListBullet"/>
      </w:pPr>
      <w:r>
        <w:t>☐ I opened at least one candidate movement-information drawer.</w:t>
      </w:r>
    </w:p>
    <w:p>
      <w:pPr>
        <w:pStyle w:val="ListBullet"/>
      </w:pPr>
      <w:r>
        <w:t>☐ I reviewed V1–V4 on the vulnerable-people map.</w:t>
      </w:r>
    </w:p>
    <w:p>
      <w:pPr>
        <w:pStyle w:val="ListBullet"/>
      </w:pPr>
      <w:r>
        <w:t>☐ I reviewed the vulnerability bar chart and unit warning.</w:t>
      </w:r>
    </w:p>
    <w:p>
      <w:pPr>
        <w:pStyle w:val="ListBullet"/>
      </w:pPr>
      <w:r>
        <w:t>☐ I tested hide/show planning information.</w:t>
      </w:r>
    </w:p>
    <w:p>
      <w:pPr>
        <w:pStyle w:val="ListBullet"/>
      </w:pPr>
      <w:r>
        <w:t>☐ I tested 500 m, 1 km and 2 km proximity thresholds.</w:t>
      </w:r>
    </w:p>
    <w:p>
      <w:pPr>
        <w:pStyle w:val="ListBullet"/>
      </w:pPr>
      <w:r>
        <w:t>☐ I generated the preparedness investment brief.</w:t>
      </w:r>
    </w:p>
    <w:p>
      <w:pPr>
        <w:pStyle w:val="ListBullet"/>
      </w:pPr>
      <w:r>
        <w:t>☐ I opened the supporting H/M/L risk map.</w:t>
      </w:r>
    </w:p>
    <w:p>
      <w:pPr>
        <w:pStyle w:val="ListBullet"/>
      </w:pPr>
      <w:r>
        <w:t>☐ I reviewed upload-format guidance.</w:t>
      </w:r>
    </w:p>
    <w:p>
      <w:pPr>
        <w:pStyle w:val="ListBullet"/>
      </w:pPr>
      <w:r>
        <w:t>☐ I tested at least two natural-language questions.</w:t>
      </w:r>
    </w:p>
    <w:p>
      <w:pPr>
        <w:pStyle w:val="ListBullet"/>
      </w:pPr>
      <w:r>
        <w:t>☐ I recorded blockers, decisions, proposed owners and sources.</w:t>
      </w:r>
    </w:p>
    <w:p>
      <w:pPr>
        <w:pStyle w:val="Heading1"/>
      </w:pPr>
      <w:r>
        <w:t>9. Known limitations</w:t>
      </w:r>
    </w:p>
    <w:p>
      <w:pPr>
        <w:pStyle w:val="ListBullet"/>
      </w:pPr>
      <w:r>
        <w:t>Static frontend with no authentication or persistent database.</w:t>
      </w:r>
    </w:p>
    <w:p>
      <w:pPr>
        <w:pStyle w:val="ListBullet"/>
      </w:pPr>
      <w:r>
        <w:t>Refreshing resets the session.</w:t>
      </w:r>
    </w:p>
    <w:p>
      <w:pPr>
        <w:pStyle w:val="ListBullet"/>
      </w:pPr>
      <w:r>
        <w:t>No production AOI, hazard, population, vulnerability or shelter service is connected.</w:t>
      </w:r>
    </w:p>
    <w:p>
      <w:pPr>
        <w:pStyle w:val="ListBullet"/>
      </w:pPr>
      <w:r>
        <w:t>No individual-level information is accepted or displayed.</w:t>
      </w:r>
    </w:p>
    <w:p>
      <w:pPr>
        <w:pStyle w:val="ListBullet"/>
      </w:pPr>
      <w:r>
        <w:t>Candidate suitability, capacity and official status are not assessed.</w:t>
      </w:r>
    </w:p>
    <w:p>
      <w:pPr>
        <w:pStyle w:val="ListBullet"/>
      </w:pPr>
      <w:r>
        <w:t>Proximity values are mocked and use a straight-line concept.</w:t>
      </w:r>
    </w:p>
    <w:p>
      <w:pPr>
        <w:pStyle w:val="ListBullet"/>
      </w:pPr>
      <w:r>
        <w:t>No road routing, travel time, accessibility or route safety.</w:t>
      </w:r>
    </w:p>
    <w:p>
      <w:pPr>
        <w:pStyle w:val="ListBullet"/>
      </w:pPr>
      <w:r>
        <w:t>No production costing or formal investment approval workflow.</w:t>
      </w:r>
    </w:p>
    <w:p>
      <w:pPr>
        <w:pStyle w:val="ListBullet"/>
      </w:pPr>
      <w:r>
        <w:t>H/M/L methods are not approved for production.</w:t>
      </w:r>
    </w:p>
    <w:p>
      <w:pPr>
        <w:pStyle w:val="ListBullet"/>
      </w:pPr>
      <w:r>
        <w:t>The live IP currently uses HTTP rather than an HTTPS domain.</w:t>
      </w:r>
    </w:p>
    <w:p>
      <w:pPr>
        <w:pStyle w:val="Heading1"/>
      </w:pPr>
      <w:r>
        <w:t>10. Troubleshooting</w:t>
      </w:r>
    </w:p>
    <w:p>
      <w:pPr>
        <w:pStyle w:val="Heading2"/>
      </w:pPr>
      <w:r>
        <w:t>Old interface or wording appears</w:t>
      </w:r>
    </w:p>
    <w:p>
      <w:r>
        <w:t xml:space="preserve">Use </w:t>
      </w:r>
      <w:r>
        <w:rPr>
          <w:rFonts w:ascii="Consolas" w:hAnsi="Consolas"/>
          <w:sz w:val="18"/>
        </w:rPr>
        <w:t>Ctrl+F5</w:t>
      </w:r>
      <w:r>
        <w:t>. If needed, clear site data and reopen the page.</w:t>
      </w:r>
    </w:p>
    <w:p>
      <w:pPr>
        <w:pStyle w:val="Heading2"/>
      </w:pPr>
      <w:r>
        <w:t>The information panel hides the map</w:t>
      </w:r>
    </w:p>
    <w:p>
      <w:r>
        <w:t xml:space="preserve">Select </w:t>
      </w:r>
      <w:r>
        <w:rPr>
          <w:b/>
        </w:rPr>
        <w:t>×</w:t>
      </w:r>
      <w:r>
        <w:t xml:space="preserve"> to expand the map. Select </w:t>
      </w:r>
      <w:r>
        <w:rPr>
          <w:b/>
        </w:rPr>
        <w:t>Show planning information</w:t>
      </w:r>
      <w:r>
        <w:t xml:space="preserve"> to restore it.</w:t>
      </w:r>
    </w:p>
    <w:p>
      <w:pPr>
        <w:pStyle w:val="Heading2"/>
      </w:pPr>
      <w:r>
        <w:t>A download does not appear</w:t>
      </w:r>
    </w:p>
    <w:p>
      <w:r>
        <w:t>Allow downloads for the site and check the browser Downloads folder.</w:t>
      </w:r>
    </w:p>
    <w:p>
      <w:pPr>
        <w:pStyle w:val="Heading2"/>
      </w:pPr>
      <w:r>
        <w:t>A result does not appear</w:t>
      </w:r>
    </w:p>
    <w:p>
      <w:r>
        <w:t>Reset, select Review preparedness, choose Phaya Thai District, keep RP100 and run the assessment.</w:t>
      </w:r>
    </w:p>
    <w:p>
      <w:pPr>
        <w:pStyle w:val="Heading2"/>
      </w:pPr>
      <w:r>
        <w:t>Values disappear after changing scenario</w:t>
      </w:r>
    </w:p>
    <w:p>
      <w:r>
        <w:t>Hard-refresh and confirm the prototype version is 0.1.9 or later.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Illustrative prototype · Not for operational use · Candidate suitability and capacity not assessed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SERVIR GRP  |  PHAYA THAI PROTOTYPE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B4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7B7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46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3B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A69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SERVIR GRP prototype reviewer manual — Phaya Thai District example</dc:title>
  <dc:subject>Step-by-step reviewer manual for the current first-phase prototype</dc:subject>
  <dc:creator>SERVIR GRP prototype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