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Воронежский государственный медицинский университет 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имени 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Бурденко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СПЕЦИЛИЗИРОВАННЫХ ХИРУРГИЧЕСКИХ ДИСЦИПЛИН</w:t>
      </w: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Заведующий кафедрой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Золотухин Олег Владимирович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Никифоров Роман Васильевич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ИСТОРИЯ БОЛЕЗНИ</w:t>
      </w:r>
    </w:p>
    <w:p>
      <w:pPr>
        <w:pStyle w:val="Normal.0"/>
        <w:spacing w:after="12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Патлатый Олег Михайлович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Диагноз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заболевание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Злокачественное новообразование  мочевого пузыря МКБ</w:t>
      </w:r>
      <w:r>
        <w:rPr>
          <w:rFonts w:ascii="Times New Roman" w:hAnsi="Times New Roman"/>
          <w:sz w:val="28"/>
          <w:szCs w:val="28"/>
          <w:rtl w:val="0"/>
          <w:lang w:val="ru-RU"/>
        </w:rPr>
        <w:t>10 - C67.8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Осложнение основного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—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Сопутствующие заболевания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Блокада передней ветви левой ножки пучка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ГЛЖ Н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МКБ</w:t>
      </w:r>
      <w:r>
        <w:rPr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Fonts w:ascii="Times New Roman" w:hAnsi="Times New Roman"/>
          <w:sz w:val="28"/>
          <w:szCs w:val="28"/>
          <w:rtl w:val="0"/>
          <w:lang w:val="en-US"/>
        </w:rPr>
        <w:t>I44</w:t>
      </w:r>
      <w:r>
        <w:rPr>
          <w:rFonts w:ascii="Times New Roman" w:hAnsi="Times New Roman"/>
          <w:sz w:val="28"/>
          <w:szCs w:val="28"/>
          <w:rtl w:val="0"/>
          <w:lang w:val="ru-RU"/>
        </w:rPr>
        <w:t>.4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Куратор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студентка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курса 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лечебного факультета 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группы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Анциферова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Воронеж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hAnsi="Times New Roman"/>
          <w:sz w:val="28"/>
          <w:szCs w:val="28"/>
          <w:rtl w:val="0"/>
          <w:lang w:val="ru-RU"/>
        </w:rPr>
        <w:t>22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ПАСПОРТНЫЕ ДАННЫЕ</w:t>
      </w: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Фамилия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Отчество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Патлатый Олег Михайлович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Возраст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61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лет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мужской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Образование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высшее экономическое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Место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инженер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Домашний адрес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Воронеж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улица Красноармейская 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поступления в клинику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23.02.2022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года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Предварительный диагноз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Рак мочевого пузыря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курации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24.02.2022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года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Жалобы больного на момент поступления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Жжение после мочеиспускания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Жалобы на момент курации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совпадают  с жалобами на момент поступления</w:t>
      </w: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История развития настоящего заболевания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(anamnesis morbi):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Пациент считает себя больным в течении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появились  первые симптомы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Доставлен планово в ВОКБ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оперативного вмешательства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Анамнез жизни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(anamnesis vitae):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Пациент родился в Воронеже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1961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полноценной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 и развивался в соответствии с полом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возрастом и сверстниками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пошел в школу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окончания школы поступил в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Жилищно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бытовые условия считает нормальными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питание регулярным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высококалорийным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большим содержанием жиров и углеводов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Вредные привычки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алкоголь употребляет редко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Наркотики не употребляет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Туберкулез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инфекционный гепатит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венерические и психические заболевания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отрицает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Злокачественные образования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рак мочевого пузыря диагностирован год назад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Аллергические реакции на лекарственные препараты или бытовые факторы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отрицает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Наследственный анамнез отягощен мочекаменной болезнью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отец и брат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Наличие хронических заболеваний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Ранее перенесенные операции –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Стоматолога за последние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не посещал</w:t>
      </w: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Настоящее состояние больного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(status praesens communis):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Общее состояние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больной удволетворительное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Положение в постели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Выражение 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спокойное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Соответствие внешнего вида возрасту  и полу– соответствует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Сознание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ясное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Телосложение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нормостеническое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175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-21.9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температура тела </w:t>
      </w:r>
      <w:r>
        <w:rPr>
          <w:rFonts w:ascii="Times New Roman" w:hAnsi="Times New Roman"/>
          <w:sz w:val="28"/>
          <w:szCs w:val="28"/>
          <w:rtl w:val="0"/>
          <w:lang w:val="ru-RU"/>
        </w:rPr>
        <w:t>36,6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Кожные покровы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влажные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тургор кожи в норме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окраска обычная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Наличие неравномерности в окраске кожных покровов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Рубцы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отсутствуют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болезненности при пальпации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ногти в норме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Слизистые оболочки розового цвета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склеры глаз белые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Подкожная клетчатка – умеренная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Волосяной покров развит по мужскому типу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ногти правильной формы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розовые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Лимфатические узлы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не увеличены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Состояние щитовидной железы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Костно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мышечная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хорошо развита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тонус мышц снижен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деформация костей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болезненность при пальпации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Конфигурация суставов – припухлость и деформация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подвижность и функция сохранены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активные и пассивные движения сохранены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Длина и окружность на симметричных уровнях одинаковы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Система органов дыхания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Осмотр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Форма грудной клетки – нормальная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симметричная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Состояние межреберных промежутков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увеличены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Дыхание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нос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свободное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тип дыхания – преобладает грудной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реберный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 половины грудной клетки участвуют в акте дыхания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Частота дыхания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дыхательных движений в минуту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глубокое дыхание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Пальпация межрёберных промежутков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ребер безболезненная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Грудная клетка резистентна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Голосовое дрожание равномерное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проводится одинаково с обеих сторон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изменено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сравнительной перкуссии над симметричными участками получен ясный легочный звук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проведении топографической перкуссии границы и экскурсия легких без особенностей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соответствует полу и возрасту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аускультации над всей поверхностью легких выслушивается везикулярное дыхание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Бронхофония симметрична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изменена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Сердечно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сосудистая система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Осмотр и пальпация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Сердечный и верхушечный толчок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межреберье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 кнутри от срединно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ключичной линии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ритмичный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положительный характер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ширина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средней высоты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средней силы надчревная пульсация – не видна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Систолическое и диастолическое дрожание не определяется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перкуссии сердца его границы относительной и абсолютной тупости без особенностей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Контуры сердца и ширина сосудистого пучка соответствует норме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аускультации тоны сердца ритмичные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приглушенные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Наличие шумов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Шейные вены не изменены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Пульс на лучевой артерии ритмичный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умеренного наполнения и напряжения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PS=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87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Артериальное давление на момент курации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115/85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Пищеварительная система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Аппетит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отвращения к пище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жирной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мясной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Стул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обычно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 в сутки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умеренное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Кал оформленный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коричневого цвета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обычного запаха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Примеси крови и слизи в кале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Кровотечения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Признаков пищеводного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желудочного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кишечного и геморроидального кровотечений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рвота кровью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«кофейной гущей»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алая кровь в кале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Осмотр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Полость рта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 влажный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налётов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Дёсны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мягкое и твёрдое небо обычной окраски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геморрагий и изъязвлений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Живот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обычной формы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симметричный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выбухания или втяжения  отсутствуют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подкожно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жирового слой умеренно развит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Видимая перистальтика кишечника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Грыжевых выпячиваний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Живот равномерно участвует в акте дыхания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Перкуссия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Перкуторный звук – тимпанический над всей поверхностью живота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Свободной жидкости в брюшной полости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Пальпация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поверхностной пальпации имеется умеренное напряжение мышц  и болезненность в правой подвздошной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tbl>
      <w:tblPr>
        <w:tblW w:w="876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81"/>
        <w:gridCol w:w="4381"/>
      </w:tblGrid>
      <w:tr>
        <w:tblPrEx>
          <w:shd w:val="clear" w:color="auto" w:fill="4f81bd"/>
        </w:tblPrEx>
        <w:trPr>
          <w:trHeight w:val="370" w:hRule="atLeast"/>
          <w:tblHeader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Симптом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762"/>
            <w:gridSpan w:val="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Перитонит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Мышечный Дефанс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Щеткина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Блюмберга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Менделя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87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Острый аппендецит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Ровзинга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Ситковского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Бартомье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Михельсона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Воскресенского 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Образцова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Ауре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Розанова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87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Острый холецистит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Ортнера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Грекова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Образцова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Захарьина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Кера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Мюсии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Курвуазье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87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Острый панкреатит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Каменчик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Керте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Воскресенского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Мейо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Робсона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Бонде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Мондора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Кулена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Грея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Тернера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87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ОКН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Валя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Кивуля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Шимана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Дансе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Склярова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Тевенера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en-US"/>
              </w:rPr>
              <w:t>«Падающей капли» и « лопающихся пузырьков»</w:t>
            </w:r>
          </w:p>
        </w:tc>
        <w:tc>
          <w:tcPr>
            <w:tcW w:type="dxa" w:w="43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  <w:tab w:val="left" w:pos="432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Normal.0"/>
        <w:widowControl w:val="0"/>
        <w:spacing w:line="240" w:lineRule="auto"/>
        <w:ind w:left="432" w:hanging="432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widowControl w:val="0"/>
        <w:spacing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Расхождения прямых мышц живота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пупочной грыжи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грыжи белой линии живота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Поверхностно расположенных опухолевидных образований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Аускультация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Выслушивается нормальная перистальтика кишечника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 трения брюшины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Сосудистые шумы в области проекции брюшной аорты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почечных артерий не выслушиваются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ПЕЧЕНЬ И ЖЕЛЧНЫЙ ПУЗЫРЬ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Осмотр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Выпячивания в области правого подреберья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Ограничение этой области в дыхании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Перкуссия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Границы печени по Курлову</w:t>
      </w:r>
    </w:p>
    <w:tbl>
      <w:tblPr>
        <w:tblW w:w="936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7"/>
        <w:gridCol w:w="1868"/>
        <w:gridCol w:w="5900"/>
      </w:tblGrid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Линии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5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Нижняя граница</w:t>
            </w:r>
          </w:p>
        </w:tc>
      </w:tr>
      <w:tr>
        <w:tblPrEx>
          <w:shd w:val="clear" w:color="auto" w:fill="ced7e7"/>
        </w:tblPrEx>
        <w:trPr>
          <w:trHeight w:val="2254" w:hRule="atLeast"/>
        </w:trPr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Правая срединно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ключичная линия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VI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ребро</w:t>
            </w:r>
          </w:p>
        </w:tc>
        <w:tc>
          <w:tcPr>
            <w:tcW w:type="dxa" w:w="5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см выше края рёберной дуги</w:t>
            </w:r>
          </w:p>
        </w:tc>
      </w:tr>
      <w:tr>
        <w:tblPrEx>
          <w:shd w:val="clear" w:color="auto" w:fill="ced7e7"/>
        </w:tblPrEx>
        <w:trPr>
          <w:trHeight w:val="1780" w:hRule="atLeast"/>
        </w:trPr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Передняя срединная линия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—</w:t>
            </w:r>
          </w:p>
        </w:tc>
        <w:tc>
          <w:tcPr>
            <w:tcW w:type="dxa" w:w="5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Граница верхней и средней трети расстояния от пупка до мечевидного отростка</w:t>
            </w:r>
          </w:p>
        </w:tc>
      </w:tr>
      <w:tr>
        <w:tblPrEx>
          <w:shd w:val="clear" w:color="auto" w:fill="ced7e7"/>
        </w:tblPrEx>
        <w:trPr>
          <w:trHeight w:val="1306" w:hRule="atLeast"/>
        </w:trPr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Левая рёберная дуга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—</w:t>
            </w:r>
          </w:p>
        </w:tc>
        <w:tc>
          <w:tcPr>
            <w:tcW w:type="dxa" w:w="5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Левая парастернальная линия</w:t>
            </w:r>
          </w:p>
        </w:tc>
      </w:tr>
    </w:tbl>
    <w:p>
      <w:pPr>
        <w:pStyle w:val="Normal.0"/>
        <w:widowControl w:val="0"/>
        <w:spacing w:after="0" w:line="240" w:lineRule="auto"/>
        <w:ind w:left="432" w:hanging="43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Пальпация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Нижний край печени не выступает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рёберной дуги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Размеры печени по Курлову</w:t>
      </w:r>
    </w:p>
    <w:tbl>
      <w:tblPr>
        <w:tblW w:w="52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2236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3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Линии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Размеры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3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Правая среднеключичная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9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см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3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Передняя срединная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8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см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3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Левая рёберная дуга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ind w:firstLine="709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см</w:t>
            </w:r>
          </w:p>
        </w:tc>
      </w:tr>
    </w:tbl>
    <w:p>
      <w:pPr>
        <w:pStyle w:val="Normal.0"/>
        <w:widowControl w:val="0"/>
        <w:spacing w:after="0" w:line="240" w:lineRule="auto"/>
        <w:ind w:left="432" w:hanging="43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Желчный пузырь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Аускультация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 трения брюшины в области правого подреберья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СЕЛЕЗЕНКА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Осмотр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Выпячивания в области левого подреберья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ограничения этой области в дыхании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Перкуссия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Продольный размер селезенки 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ребру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поперечный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Пальпация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Селезенка 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Аускультация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 трения брюшины в области левого подреберья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ПОДЖЕЛУДОЧНАЯ ЖЕЛЕЗА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Пальпация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Поджелудочная железа 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</w:rPr>
      </w:pP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Нервная система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Внимание в норме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Ночной сон не нарушен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Нарушения кожной чувствительности нет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Острота зрения снижена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обоняние и слух не нарушены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Сознание ясное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ориентировка в окружающем сохранена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настроение и сон спокойные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Специальный статус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(status specialis).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Мочеполовая система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Болезненности в поясничной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костовертебральном угле и мочеточниковых точках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отмечается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Напряжение мышц поясничной области и подреберий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наблюдается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урогематома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Почки в положении больного стоя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лёжа на спине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правом и левом боку не пальпируются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Мочеточники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Перкуссия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Симптом Пастернацкого отрицательный с обеих сторон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Аускультация почечных артерий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аускультации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почечных артерий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патологических шумов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Физикальное исследование мочевого пузыря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Рубцы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мочепузырные свищи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дефекты брюшной и передней пузырной стенки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отсутствуют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Наполненный мочевой пузырь 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Перкуторный звук над поверхностью наполненного мочевого пузыря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тупой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Бимануальная пальпация мочевого пузыря после опорожнения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мочевой пузырь не пальпируется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Ректальное пальцевое исследование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Предстательная железа увеличена длинной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симметрична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обычной формы эластической консистенции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просвет прямой кишки не выбухает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безболезненна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слизистой прямой кишки не спаяна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междолевая бороздка сохранена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Флюктуация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крепитация в простате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Семеные пузырьки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пальпируются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Исследование полового члена и уретры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Аномалий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гипоспадии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эписпадии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микропениса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фимоза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опухолей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олеогранулём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парафимоза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уретральных свищей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обнажении головки полового члена и её осмотре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опухолей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эрозий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гиперэмий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остроконечных кандилом и других изменений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пальпации полового члена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патологических образований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Осмотр струи мочи затруднён так как установлен уроренальный катетер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Исследование органов мошонки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Мошонка светло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коричневого цвета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гиперэмия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сгланженность складок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кровоподтёки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отёчность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свищи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раны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отмечаются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Мошонка не увеличена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отвисания одной из её половин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Мочевые затёки в мошонку и на промежность отсутствуют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Гематомы не пальпируются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Пальпация яичек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Число яичек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правого яичка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>-3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левого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- 3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овоидной формы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имеют плотноэластическую консистенцию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гладкую поверхность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безболезненны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уплотнений и узлов при пальпации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пальпации семенных канатиков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расширенных вен по ходу их в вертикальном и горизонтальном положениях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Диаметр семявыносящих протоков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2,5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патологических изменений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Гидроцеле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Предварительный диагноз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 основании жалоб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жжение после акта мочеиспускания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анамнеза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диагностирован рак мочевого пузыря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 назад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данных осмотра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живот симметричный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вздут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участвует в акте дыхания и результатов физикальных методов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Перкуторный звук над поверхностью наполненного мочевого пузыря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тупой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можно предположить диагноз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Злокачественное новообразование  мочевого пузыря МКБ</w:t>
      </w:r>
      <w:r>
        <w:rPr>
          <w:rFonts w:ascii="Times New Roman" w:hAnsi="Times New Roman"/>
          <w:sz w:val="28"/>
          <w:szCs w:val="28"/>
          <w:rtl w:val="0"/>
          <w:lang w:val="ru-RU"/>
        </w:rPr>
        <w:t>10 - C67.8</w:t>
      </w: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План обследования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ОАК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ОАМ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БХАК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ВИЧ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RW, HCV, HbsAg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Коагулограмма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Группа крови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резус фактор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МРТ костной ткани тазовой области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МРТ органов малого таза с внутривенным контрастированием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МРТ забрюшинного пространства с внутривенным контрастированием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УЗИ мочевого пузыря с определением остаточной мочи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УЗИ почек и надпочечников 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УЗИ предстательной железы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исследование ОГК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ЭХОКГ</w:t>
      </w:r>
    </w:p>
    <w:p>
      <w:pPr>
        <w:pStyle w:val="Normal.0"/>
        <w:spacing w:line="360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Дополнительные исследования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лабораторные и инструментальные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). 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shd w:val="clear" w:color="auto" w:fill="ffffff"/>
          <w:rtl w:val="0"/>
          <w:lang w:val="ru-RU"/>
        </w:rPr>
        <w:t>Общий анализ крови</w:t>
      </w:r>
    </w:p>
    <w:tbl>
      <w:tblPr>
        <w:tblW w:w="934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40"/>
        <w:gridCol w:w="2504"/>
        <w:gridCol w:w="2505"/>
      </w:tblGrid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Показатель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У больного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Референтный интервал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Гемоглобин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141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120-160 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г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Эритроциты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4.58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3,7-4,7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х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¹²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Цветовой показатель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0,1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0,85-1,15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Ретикулоциты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0,5%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0,2-1,2%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Тромбоциты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227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180-320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х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СОЭ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22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мм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2-15 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мм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ч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Лейкоциты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4,8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10^9/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4-9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х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Палочкоядерные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1-6%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Сегментоядерные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63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47-72%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Эозинофилы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0-5%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Базофилы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0-1%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Лимфоциты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38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18-40%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Моноциты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%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333333"/>
                <w:sz w:val="28"/>
                <w:szCs w:val="28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2-9%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4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Helvetica Neue" w:hAnsi="Helvetica Neue" w:hint="default"/>
                <w:sz w:val="24"/>
                <w:szCs w:val="24"/>
                <w:shd w:val="nil" w:color="auto" w:fill="auto"/>
                <w:rtl w:val="0"/>
                <w:lang w:val="en-US"/>
              </w:rPr>
              <w:t>Гематокрит</w:t>
            </w:r>
          </w:p>
        </w:tc>
        <w:tc>
          <w:tcPr>
            <w:tcW w:type="dxa" w:w="25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Helvetica Neue" w:hAnsi="Helvetica Neue"/>
                <w:sz w:val="24"/>
                <w:szCs w:val="24"/>
                <w:shd w:val="nil" w:color="auto" w:fill="auto"/>
                <w:rtl w:val="0"/>
                <w:lang w:val="en-US"/>
              </w:rPr>
              <w:t>41.7</w:t>
            </w:r>
          </w:p>
        </w:tc>
        <w:tc>
          <w:tcPr>
            <w:tcW w:type="dxa" w:w="2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Helvetica Neue" w:hAnsi="Helvetica Neue"/>
                <w:sz w:val="24"/>
                <w:szCs w:val="24"/>
                <w:shd w:val="nil" w:color="auto" w:fill="auto"/>
                <w:rtl w:val="0"/>
                <w:lang w:val="en-US"/>
              </w:rPr>
              <w:t>26-50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0"/>
        <w:spacing w:line="36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Заключение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повышенная СОЭ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лейкоцитоз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widowControl w:val="0"/>
        <w:spacing w:line="36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shd w:val="clear" w:color="auto" w:fill="ffffff"/>
          <w:rtl w:val="0"/>
          <w:lang w:val="ru-RU"/>
        </w:rPr>
        <w:t>Биохимический анализ крови и коагулограмма</w:t>
      </w:r>
    </w:p>
    <w:tbl>
      <w:tblPr>
        <w:tblW w:w="93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9"/>
        <w:gridCol w:w="3110"/>
        <w:gridCol w:w="3110"/>
      </w:tblGrid>
      <w:tr>
        <w:tblPrEx>
          <w:shd w:val="clear" w:color="auto" w:fill="4f81bd"/>
        </w:tblPrEx>
        <w:trPr>
          <w:trHeight w:val="400" w:hRule="atLeast"/>
          <w:tblHeader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Показатель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У больного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Норма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310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Общий белок</w:t>
            </w:r>
          </w:p>
        </w:tc>
        <w:tc>
          <w:tcPr>
            <w:tcW w:type="dxa" w:w="311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70/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64-84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Глюкоза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4,4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3,30-5,50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Мочевина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5,5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2,5-8,3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Общий биллирубин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15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5-20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Связанный биллирубин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2,4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0-3,4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Свободный биллирубин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12,1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6,4-17,1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Общая амилаза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65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ед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28-100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ед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Креатинин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68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53-97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мкмоль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АСТ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25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ел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0-35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ед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л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widowControl w:val="0"/>
        <w:spacing w:after="0" w:line="36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Заключение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все показатели в норме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АТ ВИЧ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RW, HCV, HbsAg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отрицательные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shd w:val="clear" w:color="auto" w:fill="ffffff"/>
          <w:rtl w:val="0"/>
          <w:lang w:val="ru-RU"/>
        </w:rPr>
        <w:t>Копрограмма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форма – сформированный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цвет – нормальный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запах – обычный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слизь – нет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гной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нет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ОАМ</w:t>
      </w:r>
    </w:p>
    <w:tbl>
      <w:tblPr>
        <w:tblW w:w="93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1"/>
        <w:gridCol w:w="3113"/>
        <w:gridCol w:w="3115"/>
      </w:tblGrid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Показатель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У больного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В норме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Суточное кол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во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1021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мл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1000-2000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мл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Цвет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Соломенно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желтый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Соломенно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желтый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Прозрачность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прозрачная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Прозрачная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Белок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,0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Сахар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Реакция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кислая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Кислая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слабокислая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вес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1,020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1,010-1,025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Плоский эпителий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2,1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0-3 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в поле зрения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Эпителий мочевых канальцев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Отр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Отр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Эритроциты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40,4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&lt;13,1</w:t>
            </w:r>
          </w:p>
        </w:tc>
      </w:tr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Лейкоциты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51,1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&lt;9,2</w:t>
            </w:r>
          </w:p>
        </w:tc>
      </w:tr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Грибы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49,6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&lt;0,02</w:t>
            </w:r>
          </w:p>
        </w:tc>
      </w:tr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31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Бактерии</w:t>
            </w:r>
          </w:p>
        </w:tc>
        <w:tc>
          <w:tcPr>
            <w:tcW w:type="dxa" w:w="31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237,2</w:t>
            </w:r>
          </w:p>
        </w:tc>
        <w:tc>
          <w:tcPr>
            <w:tcW w:type="dxa" w:w="3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&lt;385.8</w:t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МРТ костной ткани тазовой области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Без признаков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mts.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МР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картина деформирующего артроза тазобедренных суставово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признаками асептического некроза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МРТ органов малого таза с внутривенным контрастированием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Состояние после курса ХТ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картина 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 мочевого пузыря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Мрт забрюшинного пространства с внутривенным контрастированием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признаки простых кист правой почки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УЗИ мочевого пузыря с определением остаточной мочи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очагового образования мочевого пузыря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эхокартина может соответствовать первичному обширному онкопатологическому образованию мочевого пузыря занимающему шейку и левую половину полости мочевого пузыря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УЗИ почек и надпочечников 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диффузного изменения почек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очагового кистозного образование правой почки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Картина может соответствовать простой кисте Босниак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каликоэктазии слева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конкремент левой почки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УЗИ предстательной железы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гиперплазии предстательной железы с формированием билатеральной аденомы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диффузных изменений предстательной железы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очаговых изменений предстательной железы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множественных кальцинатов по периферии билатеральных узлов обеих долей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очагового кистозного образования правой доли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очагового образования мочевого пузыря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эхокартина может соотвествовать обширному первичному онкопатологическому образованию мочевого пузыря с возможными признаками прорастания в предстательную железу и семенные пузырьки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эктазии перипростатических вен и семенных пузырьков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R-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исследование ОГК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грамме грудной клетки в прямой проекции очаговых инфильтративных теней нет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Пневмотизация не изменена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Легочный рисунок сохранен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Корни структурны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Средостение без особенностей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Синусы свободны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СОР нормальной конфигурации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Костнодеструктивных изменений нет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ЭХОКГ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Блокада передней ветви левой ножки пучка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ГЛЖ Н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ФК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Окончательный диагноз и его обоснование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 основании жалоб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жжение после акта мочеиспускания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анамнеза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диагностирован рак мочевого пузыря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 назад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данных осмотра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живот симметричный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вздут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участвует в акте дыхания и результатов физикальных методов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Перкуторный звук над поверхностью наполненного мочевого пузыря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тупой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основании данных лабораторных и инструментальных методов исследования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</w:p>
    <w:p>
      <w:pPr>
        <w:pStyle w:val="Normal.0"/>
        <w:spacing w:line="360" w:lineRule="auto"/>
        <w:ind w:firstLine="567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МРТ костной ткани тазовой области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Без признаков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mts.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МР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картина деформирующего артроза тазобедренных суставово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признаками асептического некроза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МРТ органов малого таза с внутривенным контрастированием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Состояние после курса ХТ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картина 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 мочевого пузыря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Мрт забрюшинного пространства с внутривенным контрастированием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признаки простых кист правой почки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УЗИ мочевого пузыря с определением остаточной мочи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очагового образования мочевого пузыря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эхокартина может соответствовать первичному обширному онкопатологическому образованию мочевого пузыря занимающему шейку и левую половину полости мочевого пузыря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УЗИ почек и надпочечников 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диффузного изменения почек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очагового кистозного образование правой почки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Картина может соответствовать простой кисте Босниак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каликоэктазии слева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конкремент левой почки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УЗИ предстательной железы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признаки гиперплазии предстательной железы с формированием билатеральной аденомы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диффузных изменений предстательной железы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очаговых изменений предстательной железы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множественных кальцинатов по периферии билатеральных узлов обеих долей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очагового кистозного образования правой доли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очагового образования мочевого пузыря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эхокартина может соответствовать обширному первичному онкопатологическому образованию мочевого пузыря с возможными признаками прорастания в предстательную железу и семенные пузырьки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эктазии перипростатических вен и семенных пузырьков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можно поставить диагноз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заболевание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Злокачественное новообразование  мочевого пузыря МКБ</w:t>
      </w:r>
      <w:r>
        <w:rPr>
          <w:rFonts w:ascii="Times New Roman" w:hAnsi="Times New Roman"/>
          <w:sz w:val="28"/>
          <w:szCs w:val="28"/>
          <w:rtl w:val="0"/>
          <w:lang w:val="ru-RU"/>
        </w:rPr>
        <w:t>10 - C67.8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Осложнение основного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—</w:t>
      </w:r>
    </w:p>
    <w:p>
      <w:pPr>
        <w:pStyle w:val="Normal.0"/>
        <w:spacing w:after="12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Сопутствующие заболевания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Блокада передней ветви левой ножки пучка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ГЛЖ Н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МКБ</w:t>
      </w:r>
      <w:r>
        <w:rPr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Fonts w:ascii="Times New Roman" w:hAnsi="Times New Roman"/>
          <w:sz w:val="28"/>
          <w:szCs w:val="28"/>
          <w:rtl w:val="0"/>
          <w:lang w:val="en-US"/>
        </w:rPr>
        <w:t>I44</w:t>
      </w:r>
      <w:r>
        <w:rPr>
          <w:rFonts w:ascii="Times New Roman" w:hAnsi="Times New Roman"/>
          <w:sz w:val="28"/>
          <w:szCs w:val="28"/>
          <w:rtl w:val="0"/>
          <w:lang w:val="ru-RU"/>
        </w:rPr>
        <w:t>.4</w:t>
      </w: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Дифференциальная диагностика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outline w:val="0"/>
          <w:color w:val="202124"/>
          <w:sz w:val="18"/>
          <w:szCs w:val="18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outline w:val="0"/>
          <w:color w:val="202124"/>
          <w:sz w:val="18"/>
          <w:szCs w:val="18"/>
          <w:u w:color="202124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202124"/>
          <w:sz w:val="18"/>
          <w:szCs w:val="1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 </w:t>
      </w:r>
    </w:p>
    <w:tbl>
      <w:tblPr>
        <w:tblW w:w="93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7"/>
        <w:gridCol w:w="1215"/>
        <w:gridCol w:w="1069"/>
        <w:gridCol w:w="1315"/>
        <w:gridCol w:w="1555"/>
        <w:gridCol w:w="1982"/>
        <w:gridCol w:w="1156"/>
      </w:tblGrid>
      <w:tr>
        <w:tblPrEx>
          <w:shd w:val="clear" w:color="auto" w:fill="ced7e7"/>
        </w:tblPrEx>
        <w:trPr>
          <w:trHeight w:val="103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Признак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Цистит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Цистолитиаз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Туберкулез мочевого пузыря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ДГПЖ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Опухоли соседних органов прорастающие в мочевой пузырь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.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Рак мочевого пузыря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Начало заболевания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Чаще Острое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Чаще длительное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Длительное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Длительное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Длительное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Длительное</w:t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Характерные данные анамнеза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Переохлаждение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Мочекаменная болезнь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В анамнезе туберкулез почек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Возраст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Онкозаболевания соседних органов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Среди полного здоровья</w:t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Наличие макрогемат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урии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Редко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Иногда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связано с болями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Редко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Редко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Часто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Часто первый симптом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безболезненная</w:t>
            </w:r>
          </w:p>
        </w:tc>
      </w:tr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Дизурия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Часто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Часто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Часто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Не всегда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редко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Редко</w:t>
            </w:r>
          </w:p>
        </w:tc>
      </w:tr>
      <w:tr>
        <w:tblPrEx>
          <w:shd w:val="clear" w:color="auto" w:fill="ced7e7"/>
        </w:tblPrEx>
        <w:trPr>
          <w:trHeight w:val="175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Цистоскопи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ческая картина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Гиперемия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отечность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Виден конкремент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Туберкулезные бугор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ки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язвы расположенные у устья моче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точника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Деформация слизистой за счет процесса из вне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.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Инфильтрация или изъязвление слизистой в проекции пораженного соседнего органа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Характерные ворсинчатые разрастания</w:t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Цитология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лейкоциты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Картина воспаления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Картина специфического воспаления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Без особенностей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Цитологическая картина соответствует опухоли соседнего органа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95% -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уротелиальная карцинома</w:t>
            </w:r>
          </w:p>
        </w:tc>
      </w:tr>
      <w:tr>
        <w:tblPrEx>
          <w:shd w:val="clear" w:color="auto" w:fill="ced7e7"/>
        </w:tblPrEx>
        <w:trPr>
          <w:trHeight w:val="223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Рентгенологи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ческая картина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Без особенностей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Определяется тень конкремента высокой плотности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Стенка утолщена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объем уменьшен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Округлая тень вдающаяся в просвет мочевого пузыря в области треугольника Льето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Дефект наполнения в области локализации опухоли соседнего органа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Дефект наполнения на любой стенке мочевого пузыря</w:t>
            </w:r>
          </w:p>
        </w:tc>
      </w:tr>
      <w:tr>
        <w:tblPrEx>
          <w:shd w:val="clear" w:color="auto" w:fill="ced7e7"/>
        </w:tblPrEx>
        <w:trPr>
          <w:trHeight w:val="1991" w:hRule="atLeast"/>
        </w:trPr>
        <w:tc>
          <w:tcPr>
            <w:tcW w:type="dxa" w:w="1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КТ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МРТ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признаки</w:t>
            </w:r>
          </w:p>
        </w:tc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Без особенностей</w:t>
            </w:r>
          </w:p>
        </w:tc>
        <w:tc>
          <w:tcPr>
            <w:tcW w:type="dxa" w:w="10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Определяется тень конкремента высокой плотности</w:t>
            </w:r>
          </w:p>
        </w:tc>
        <w:tc>
          <w:tcPr>
            <w:tcW w:type="dxa" w:w="1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Стенка утолщена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объем уменьшен</w:t>
            </w:r>
          </w:p>
        </w:tc>
        <w:tc>
          <w:tcPr>
            <w:tcW w:type="dxa" w:w="1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Определяется увеличенная простата вдающаяся в просвет мочевого пузыря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Определяется опухолевый конгломерат в составе стенки мочевого пузыря и соседнего</w:t>
            </w:r>
            <w:r>
              <w:rPr>
                <w:rFonts w:ascii="Times New Roman" w:hAnsi="Times New Roman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пораженного органа</w:t>
            </w:r>
          </w:p>
        </w:tc>
        <w:tc>
          <w:tcPr>
            <w:tcW w:type="dxa" w:w="11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Times New Roman" w:hAnsi="Times New Roman" w:hint="default"/>
                <w:outline w:val="0"/>
                <w:color w:val="202124"/>
                <w:sz w:val="22"/>
                <w:szCs w:val="22"/>
                <w:u w:color="202124"/>
                <w:shd w:val="nil" w:color="auto" w:fill="auto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Картина опухолевого поражения стенки мочевого пузыря</w:t>
            </w:r>
          </w:p>
        </w:tc>
      </w:tr>
    </w:tbl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108" w:hanging="108"/>
        <w:rPr>
          <w:rFonts w:ascii="Times New Roman" w:cs="Times New Roman" w:hAnsi="Times New Roman" w:eastAsia="Times New Roman"/>
          <w:outline w:val="0"/>
          <w:color w:val="202124"/>
          <w:sz w:val="18"/>
          <w:szCs w:val="18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outline w:val="0"/>
          <w:color w:val="202124"/>
          <w:sz w:val="18"/>
          <w:szCs w:val="18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spacing w:line="360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Лечение</w:t>
      </w:r>
    </w:p>
    <w:p>
      <w:pPr>
        <w:pStyle w:val="Normal.0"/>
        <w:shd w:val="clear" w:color="auto" w:fill="ffffff"/>
        <w:spacing w:after="0" w:line="360" w:lineRule="auto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План лечения</w:t>
      </w:r>
    </w:p>
    <w:p>
      <w:pPr>
        <w:pStyle w:val="Normal.0"/>
        <w:shd w:val="clear" w:color="auto" w:fill="ffffff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Режим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палатный</w:t>
      </w:r>
    </w:p>
    <w:p>
      <w:pPr>
        <w:pStyle w:val="Normal.0"/>
        <w:shd w:val="clear" w:color="auto" w:fill="ffffff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полное голодание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стол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с последующим переходом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</w:p>
    <w:p>
      <w:pPr>
        <w:pStyle w:val="Normal.0"/>
        <w:shd w:val="clear" w:color="auto" w:fill="ffffff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Оперативное лечение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ТУР мочевого пузыря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Rp.: Phenazepami 0,001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D.t.d.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50 in tab.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таблетке на ночь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Rp.: Cephotaximi 1,0.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D.t.d.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 in flac.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флакону в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растворять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 в</w:t>
      </w: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ды для инъекций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Rp.: Tab. "No-spa" 0,04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D.S.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Rp.: Sol. Metamizoli sodii 5 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>5 in amp.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S.: 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 в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 при болях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Rp. Sol. Dicynon 12,5% 2 ml.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D. t.d. N. 10 in ampull.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Внутривенно или внутримышечно 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мл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 до операции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Местное лечение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перевязки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Протокол операции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 общим наркозом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уретру в мочевой пузырь вводится цисторезектоскоп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производится удаление опухоли мочевого пузыря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Устанавливают катетер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Удаленную опухоль отправляют на гистологическое исследование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Рапорт мед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сестры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инструменты и марлевый материал – на месте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Швы на кожные разрезы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Асептические повязки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Макропрепарат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опухоль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Гистология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злокачественное новообразование мочевого пузыря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Прогноз для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благоприятный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Прогноз трудоспособности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относительно благоприятный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Метафилактика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соблюдение питьевого режима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обеспечивающего выделение мочи в объеме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2-2,5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литров в сутки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увеличение физической активности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снижение стрессовой нагрузки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количество жидкости должно быть распределено равномерно на протяжении дня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   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07.03.2022                         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 куратора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426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6"/>
          <w:tab w:val="num" w:pos="1222"/>
        </w:tabs>
        <w:ind w:left="1298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6"/>
        </w:tabs>
        <w:ind w:left="1978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6"/>
          <w:tab w:val="num" w:pos="2662"/>
        </w:tabs>
        <w:ind w:left="2738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6"/>
          <w:tab w:val="num" w:pos="3382"/>
        </w:tabs>
        <w:ind w:left="3458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6"/>
        </w:tabs>
        <w:ind w:left="4138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6"/>
          <w:tab w:val="num" w:pos="4822"/>
        </w:tabs>
        <w:ind w:left="4898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6"/>
          <w:tab w:val="num" w:pos="5542"/>
        </w:tabs>
        <w:ind w:left="5618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6"/>
        </w:tabs>
        <w:ind w:left="6298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bullet"/>
      <w:suff w:val="tab"/>
      <w:lvlText w:val="•"/>
      <w:lvlJc w:val="left"/>
      <w:pPr>
        <w:tabs>
          <w:tab w:val="num" w:pos="850"/>
        </w:tabs>
        <w:ind w:left="28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50"/>
          <w:tab w:val="num" w:pos="1570"/>
        </w:tabs>
        <w:ind w:left="100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50"/>
          <w:tab w:val="num" w:pos="2290"/>
        </w:tabs>
        <w:ind w:left="172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50"/>
          <w:tab w:val="num" w:pos="3010"/>
        </w:tabs>
        <w:ind w:left="244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50"/>
          <w:tab w:val="num" w:pos="3730"/>
        </w:tabs>
        <w:ind w:left="316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50"/>
          <w:tab w:val="num" w:pos="4450"/>
        </w:tabs>
        <w:ind w:left="388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50"/>
          <w:tab w:val="num" w:pos="5170"/>
        </w:tabs>
        <w:ind w:left="460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50"/>
          <w:tab w:val="num" w:pos="5890"/>
        </w:tabs>
        <w:ind w:left="532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50"/>
          <w:tab w:val="num" w:pos="6610"/>
        </w:tabs>
        <w:ind w:left="6043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64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