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AIE 410 510 Course Project Proposal</w:t>
      </w:r>
    </w:p>
    <w:p>
      <w:pPr>
        <w:spacing w:after="60"/>
      </w:pPr>
      <w:r>
        <w:rPr>
          <w:b/>
        </w:rPr>
        <w:t xml:space="preserve">Group #: </w:t>
      </w:r>
      <w:r>
        <w:t>13</w:t>
      </w:r>
    </w:p>
    <w:p>
      <w:pPr>
        <w:spacing w:after="60"/>
      </w:pPr>
      <w:r>
        <w:rPr>
          <w:b/>
        </w:rPr>
        <w:t xml:space="preserve">Course Level: </w:t>
      </w:r>
      <w:r>
        <w:t>AIE 510</w:t>
      </w:r>
    </w:p>
    <w:p>
      <w:pPr>
        <w:spacing w:after="60"/>
      </w:pPr>
      <w:r>
        <w:rPr>
          <w:b/>
        </w:rPr>
        <w:t xml:space="preserve">Team Members: </w:t>
      </w:r>
      <w:r>
        <w:t>Koshik Debanath, Prakrit Uprety, Vision Rijal</w:t>
      </w:r>
    </w:p>
    <w:p>
      <w:pPr>
        <w:spacing w:after="60"/>
      </w:pPr>
      <w:r>
        <w:rPr>
          <w:b/>
        </w:rPr>
        <w:t xml:space="preserve">Project Title: </w:t>
      </w:r>
      <w:r>
        <w:t>Auditing SHAP Explanations Against Latent Failure Mechanisms in Predictive Maintenance</w:t>
      </w:r>
    </w:p>
    <w:p>
      <w:pPr>
        <w:pStyle w:val="Heading1"/>
      </w:pPr>
      <w:r>
        <w:t>1 Machine Learning Task</w:t>
      </w:r>
    </w:p>
    <w:p>
      <w:r>
        <w:t>This project predicts machine failure from operating conditions and audits whether the model's SHAP explanations align with documented failure mechanisms. We have implemented an imbalance-aware comparison of seven classifier families and a mechanism-level explanation audit. The classifier learns only the binary failure target; the failure-mode flags are withheld from training and used to evaluate explanations. The course deliverable will consolidate the implemented pipeline, experimental results, and limitations into a reproducible report.</w:t>
      </w:r>
    </w:p>
    <w:p>
      <w:pPr>
        <w:pStyle w:val="Heading1"/>
      </w:pPr>
      <w:r>
        <w:t>2 Dataset</w:t>
      </w:r>
    </w:p>
    <w:p>
      <w:r>
        <w:t xml:space="preserve">AI4I 2020 Predictive Maintenance Dataset: </w:t>
      </w:r>
      <w:hyperlink r:id="rId5">
        <w:r>
          <w:rPr>
            <w:sz w:val="20"/>
          </w:rPr>
          <w:t>https://archive.ics.uci.edu/dataset/601/ai4i+2020+predictive+maintenance+dataset</w:t>
        </w:r>
      </w:hyperlink>
    </w:p>
    <w:p>
      <w:r>
        <w:t>The released synthetic dataset contains 10,000 rows, including 339 failures (3.39%). Inputs are product type (L/M/H), air and process temperatures, rotational speed, torque, and tool wear. Five recorded flags identify tool wear failure (TWF), heat dissipation failure (HDF), power failure (PWF), overstrain failure (OSF), and random failure (RNF). Published rules identify trigger features for the four physical mechanisms; RNF has no physical trigger features.</w:t>
      </w:r>
    </w:p>
    <w:p>
      <w:r>
        <w:t>Four additional features are derived from the inputs without using failure flags: power, temperature difference, overstrain, and a type-normalized overstrain ratio. Identifiers and mechanism flags are excluded from predictors. The released labels contain inconsistencies: nine failures have no mechanism flag, and 18 of 19 RNF rows have a negative failure label. RNF is therefore analyzed descriptively. These simulated rules provide evaluation ground truth, not independent evidence about real equipment.</w:t>
      </w:r>
    </w:p>
    <w:p>
      <w:pPr>
        <w:pStyle w:val="Heading1"/>
      </w:pPr>
      <w:r>
        <w:t>3 Problem Statement and Prediction Target</w:t>
      </w:r>
    </w:p>
    <w:p>
      <w:r>
        <w:t>High predictive accuracy does not establish that a model relies on features relevant to the underlying failure mechanism. We ask whether SHAP attribution concentrates on each mechanism's trigger features, whether that concentration is specific to the mechanism's rows, and whether non-trigger features receive mechanism-specific attribution. The prediction target is the released binary Machine failure label. The audit covers all mechanism-flagged rows using out-of-sample explanations, with a separate analysis of rows containing exactly one flag.</w:t>
      </w:r>
    </w:p>
    <w:p>
      <w:r>
        <w:t>We also test whether the audit detects a synthetic shortcut sensor that imitates HDF while having no physical role, and whether a naive comparison against random failure rows incorrectly validates a model trained on shuffled labels. Trigger sets reflect the documented rules: temperatures and speed for HDF; torque and speed for PWF; tool wear and torque with type-dependent thresholds for OSF; and tool wear for TWF. Relevant derived features are included in the corresponding audit sets.</w:t>
      </w:r>
    </w:p>
    <w:p>
      <w:pPr>
        <w:pStyle w:val="Heading1"/>
      </w:pPr>
      <w:r>
        <w:t>4 Machine Learning Models</w:t>
      </w:r>
    </w:p>
    <w:p>
      <w:r>
        <w:t>The implemented benchmark compares logistic regression, support vector machine, k-nearest neighbors, decision tree, random forest, XGBoost, and multilayer perceptron. Data are split 70/20/10 into stratified training, validation, and test sets. Scaling and one-hot encoding are fitted on training data only. SMOTE, Borderline-SMOTE, and ADASYN are compared on validation F1; Borderline-SMOTE is selected.</w:t>
      </w:r>
    </w:p>
    <w:p>
      <w:r>
        <w:t>XGBoost has the highest validation F1 and is tuned with a 40-iteration randomized search using five-fold stratified cross-validation, with resampling confined to each training fold. The decision threshold is selected on validation data. Explanation analyses use path-dependent and interventional TreeSHAP, with random forest as a second model family. The implemented explanation scope is SHAP.</w:t>
      </w:r>
    </w:p>
    <w:p>
      <w:pPr>
        <w:pStyle w:val="Heading1"/>
      </w:pPr>
      <w:r>
        <w:t>5 Evaluation Metrics and Current Progress</w:t>
      </w:r>
    </w:p>
    <w:p>
      <w:r>
        <w:t>Prediction is evaluated using failure-class precision, recall, F1, PR-AUC, and ROC-AUC, with confidence intervals, confusion matrices, and calibration measures. Accuracy alone is inadequate because a model predicting no failures would score 96.61%. The tuned XGBoost achieves test F1 of 0.89, precision of 1.00, and recall of 0.79 on a test set containing 34 failures. Confidence intervals are wide, and the results do not establish a significant benefit from tuning or threshold selection.</w:t>
      </w:r>
    </w:p>
    <w:p>
      <w:r>
        <w:t>The explanation audit measures relevant attribution share, its excess on the mechanism's own rows relative to other failures, and the largest mechanism-specific attribution excess among non-trigger features. Five-fold cross-fitting provides out-of-sample SHAP values. The primary null uses 1,000 models retrained on permuted labels, with Holm correction across the four physical mechanisms at a 0.05 significance level. Controls include multiple seeds, raw features, in-sample explanations, alternative explainers, and a second model family.</w:t>
      </w:r>
    </w:p>
    <w:p>
      <w:r>
        <w:t>Completed experiments support alignment for HDF, PWF, and OSF across seeds, explainers, and model families. TWF remains unresolved because its verdict depends on the explainer. A shortcut carrying roughly one-fifth to one-third of HDF attribution is detected while test F1 remains between 0.84 and 0.92; lighter reliance can be missed. Scaling experiments use newly generated AI4I-process data up to 300,000 rows, with timing up to one million. At larger sizes, the non-trigger shortcut statistic remains necessary because relevant share alone can miss substantial shortcut reliance.</w:t>
      </w:r>
    </w:p>
    <w:p>
      <w:r>
        <w:t>Remaining course work is to finalize the reproducible report and presentation, clearly document label inconsistencies and statistical limitations, and package the code and results. Real maintenance logs, additional shortcut types, and formal power analysis are future extensions beyond the current course scope.</w:t>
      </w:r>
    </w:p>
    <w:sectPr w:rsidR="00C63DEE" w:rsidRPr="00E97A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F9243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1256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EE"/>
    <w:rsid w:val="0020435A"/>
    <w:rsid w:val="005727EB"/>
    <w:rsid w:val="009112C5"/>
    <w:rsid w:val="009E555C"/>
    <w:rsid w:val="00A22EE2"/>
    <w:rsid w:val="00BD5880"/>
    <w:rsid w:val="00C63DEE"/>
    <w:rsid w:val="00CA3F5D"/>
    <w:rsid w:val="00E97AA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4BA5"/>
  <w15:docId w15:val="{30ECAA81-FF92-4EF2-AD61-4F6D3A59A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0" w:after="120" w:line="252" w:lineRule="auto"/>
    </w:pPr>
    <w:rPr>
      <w:rFonts w:ascii="Calibri" w:hAnsi="Calibri"/>
      <w:color w:val="000000"/>
      <w:sz w:val="22"/>
    </w:rPr>
  </w:style>
  <w:style w:type="paragraph" w:styleId="Heading1">
    <w:name w:val="heading 1"/>
    <w:basedOn w:val="Normal"/>
    <w:next w:val="BodyText"/>
    <w:link w:val="Heading1Char"/>
    <w:uiPriority w:val="9"/>
    <w:qFormat/>
    <w:rsid w:val="00A10FD9"/>
    <w:pPr>
      <w:keepNext/>
      <w:keepLines/>
      <w:spacing w:before="200" w:after="120" w:line="252" w:lineRule="auto"/>
      <w:outlineLvl w:val="0"/>
    </w:pPr>
    <w:rPr>
      <w:rFonts w:asciiTheme="majorHAnsi" w:eastAsiaTheme="majorEastAsia" w:hAnsiTheme="majorHAnsi" w:cstheme="majorBidi" w:ascii="Calibri" w:hAnsi="Calibri"/>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200" w:before="0" w:line="252" w:lineRule="auto"/>
      <w:contextualSpacing/>
      <w:jc w:val="center"/>
    </w:pPr>
    <w:rPr>
      <w:rFonts w:asciiTheme="majorHAnsi" w:eastAsiaTheme="majorEastAsia" w:hAnsiTheme="majorHAnsi" w:cstheme="majorBidi" w:ascii="Calibri" w:hAnsi="Calibri"/>
      <w:color w:val="000000"/>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0435A"/>
    <w:rPr>
      <w:color w:val="605E5C"/>
      <w:shd w:val="clear" w:color="auto" w:fill="E1DFDD"/>
    </w:rPr>
  </w:style>
  <w:style w:type="character" w:styleId="HTMLCode">
    <w:name w:val="HTML Code"/>
    <w:basedOn w:val="DefaultParagraphFont"/>
    <w:uiPriority w:val="99"/>
    <w:unhideWhenUsed/>
    <w:rsid w:val="0020435A"/>
    <w:rPr>
      <w:rFonts w:ascii="Courier New" w:eastAsia="Times New Roman" w:hAnsi="Courier New" w:cs="Courier New"/>
      <w:sz w:val="20"/>
      <w:szCs w:val="20"/>
    </w:rPr>
  </w:style>
  <w:style w:type="paragraph" w:styleId="NormalWeb">
    <w:name w:val="Normal (Web)"/>
    <w:basedOn w:val="Normal"/>
    <w:uiPriority w:val="99"/>
    <w:unhideWhenUsed/>
    <w:rsid w:val="00E97AAC"/>
    <w:pPr>
      <w:spacing w:before="100" w:beforeAutospacing="1" w:after="100" w:afterAutospacing="1"/>
    </w:pPr>
    <w:rPr>
      <w:rFonts w:ascii="Times New Roman" w:eastAsia="Times New Roman" w:hAnsi="Times New Roman" w:cs="Times New Roman"/>
      <w:lang w:eastAsia="en-US"/>
    </w:rPr>
  </w:style>
  <w:style w:type="character" w:customStyle="1" w:styleId="fui-styledtext">
    <w:name w:val="fui-styledtext"/>
    <w:basedOn w:val="DefaultParagraphFont"/>
    <w:rsid w:val="00E97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601/ai4i+2020+predictive+maintenanc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 510 Course Project Proposal</dc:title>
  <dc:creator>Li, Peiyu</dc:creator>
  <cp:keywords/>
  <cp:lastModifiedBy>Debanath, Koshik  - SDSU Student</cp:lastModifiedBy>
  <cp:revision>2</cp:revision>
  <dcterms:created xsi:type="dcterms:W3CDTF">2026-10-02T03:43:00Z</dcterms:created>
  <dcterms:modified xsi:type="dcterms:W3CDTF">2026-10-02T03:43:00Z</dcterms:modified>
  <dc:subject>Predictive maintenance classification and mechanism-level SHAP audit</dc:subject>
</cp:coreProperties>
</file>