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A483" w14:textId="77777777" w:rsidR="00863331" w:rsidRDefault="00000000">
      <w:pPr>
        <w:spacing w:after="40"/>
      </w:pPr>
      <w:r>
        <w:rPr>
          <w:rFonts w:ascii="Arial" w:eastAsia="Arial" w:hAnsi="Arial" w:cs="Arial"/>
          <w:b/>
          <w:bCs/>
          <w:color w:val="1B2430"/>
          <w:sz w:val="40"/>
          <w:szCs w:val="40"/>
        </w:rPr>
        <w:t>PAWAN SHAKTI</w:t>
      </w:r>
    </w:p>
    <w:p w14:paraId="49730FE1" w14:textId="77777777" w:rsidR="00863331" w:rsidRDefault="00000000">
      <w:pPr>
        <w:spacing w:after="100"/>
      </w:pPr>
      <w:r>
        <w:rPr>
          <w:rFonts w:ascii="Arial" w:eastAsia="Arial" w:hAnsi="Arial" w:cs="Arial"/>
          <w:i/>
          <w:iCs/>
          <w:color w:val="5A6472"/>
          <w:sz w:val="19"/>
          <w:szCs w:val="19"/>
        </w:rPr>
        <w:t>Decentralized Wind Energy for the Inland World — Technical &amp; Business Briefing Note</w:t>
      </w:r>
    </w:p>
    <w:p w14:paraId="5E34FFDB" w14:textId="77777777" w:rsidR="00863331" w:rsidRDefault="00863331">
      <w:pPr>
        <w:pBdr>
          <w:bottom w:val="single" w:sz="12" w:space="4" w:color="E8621A"/>
        </w:pBdr>
        <w:spacing w:after="200"/>
      </w:pPr>
    </w:p>
    <w:p w14:paraId="32485B96" w14:textId="77777777" w:rsidR="00863331" w:rsidRDefault="00000000">
      <w:pPr>
        <w:spacing w:after="120"/>
      </w:pPr>
      <w:r>
        <w:rPr>
          <w:rFonts w:ascii="Arial" w:eastAsia="Arial" w:hAnsi="Arial" w:cs="Arial"/>
          <w:color w:val="1B2430"/>
        </w:rPr>
        <w:t>Pawan Shakti is developing a compact, low-cost small-scale wind turbine (SSWT) system engineered specifically for the low-wind conditions typical of inland India — where conventional wind and solar technologies are unreliable or unavailable. The system pairs CFD-optimized multi-propeller blades with a compact planetary gearbox to generate usable power at wind speeds as low as 1.5–3.5 m/s, well below the 5 m/s+ threshold required by conventional small-wind systems.</w:t>
      </w:r>
    </w:p>
    <w:p w14:paraId="1CEE59F8" w14:textId="77777777" w:rsidR="00863331" w:rsidRDefault="00000000">
      <w:pPr>
        <w:spacing w:after="100"/>
      </w:pPr>
      <w:r>
        <w:rPr>
          <w:rFonts w:ascii="Arial" w:eastAsia="Arial" w:hAnsi="Arial" w:cs="Arial"/>
          <w:b/>
          <w:bCs/>
          <w:color w:val="5A6472"/>
        </w:rPr>
        <w:t>Mission</w:t>
      </w:r>
      <w:proofErr w:type="gramStart"/>
      <w:r>
        <w:rPr>
          <w:rFonts w:ascii="Arial" w:eastAsia="Arial" w:hAnsi="Arial" w:cs="Arial"/>
          <w:b/>
          <w:bCs/>
          <w:color w:val="5A6472"/>
        </w:rPr>
        <w:t xml:space="preserve">:  </w:t>
      </w:r>
      <w:r>
        <w:rPr>
          <w:rFonts w:ascii="Arial" w:eastAsia="Arial" w:hAnsi="Arial" w:cs="Arial"/>
          <w:color w:val="1B2430"/>
        </w:rPr>
        <w:t>“</w:t>
      </w:r>
      <w:proofErr w:type="gramEnd"/>
      <w:r>
        <w:rPr>
          <w:rFonts w:ascii="Arial" w:eastAsia="Arial" w:hAnsi="Arial" w:cs="Arial"/>
          <w:color w:val="1B2430"/>
        </w:rPr>
        <w:t xml:space="preserve">Apna </w:t>
      </w:r>
      <w:proofErr w:type="spellStart"/>
      <w:r>
        <w:rPr>
          <w:rFonts w:ascii="Arial" w:eastAsia="Arial" w:hAnsi="Arial" w:cs="Arial"/>
          <w:color w:val="1B2430"/>
        </w:rPr>
        <w:t>ghar</w:t>
      </w:r>
      <w:proofErr w:type="spellEnd"/>
      <w:r>
        <w:rPr>
          <w:rFonts w:ascii="Arial" w:eastAsia="Arial" w:hAnsi="Arial" w:cs="Arial"/>
          <w:color w:val="1B2430"/>
        </w:rPr>
        <w:t xml:space="preserve">, </w:t>
      </w:r>
      <w:proofErr w:type="spellStart"/>
      <w:r>
        <w:rPr>
          <w:rFonts w:ascii="Arial" w:eastAsia="Arial" w:hAnsi="Arial" w:cs="Arial"/>
          <w:color w:val="1B2430"/>
        </w:rPr>
        <w:t>apna</w:t>
      </w:r>
      <w:proofErr w:type="spellEnd"/>
      <w:r>
        <w:rPr>
          <w:rFonts w:ascii="Arial" w:eastAsia="Arial" w:hAnsi="Arial" w:cs="Arial"/>
          <w:color w:val="1B2430"/>
        </w:rPr>
        <w:t xml:space="preserve"> turbine.”</w:t>
      </w:r>
    </w:p>
    <w:p w14:paraId="7EFE35B7" w14:textId="77777777" w:rsidR="00863331" w:rsidRDefault="00000000">
      <w:pPr>
        <w:spacing w:after="100"/>
      </w:pPr>
      <w:r>
        <w:rPr>
          <w:rFonts w:ascii="Arial" w:eastAsia="Arial" w:hAnsi="Arial" w:cs="Arial"/>
          <w:b/>
          <w:bCs/>
          <w:color w:val="5A6472"/>
        </w:rPr>
        <w:t xml:space="preserve">Founder:  </w:t>
      </w:r>
      <w:r>
        <w:rPr>
          <w:rFonts w:ascii="Arial" w:eastAsia="Arial" w:hAnsi="Arial" w:cs="Arial"/>
          <w:color w:val="1B2430"/>
        </w:rPr>
        <w:t>Yaswanth</w:t>
      </w:r>
    </w:p>
    <w:p w14:paraId="795F9747" w14:textId="77777777" w:rsidR="00863331" w:rsidRDefault="00000000">
      <w:pPr>
        <w:spacing w:after="100"/>
      </w:pPr>
      <w:r>
        <w:rPr>
          <w:rFonts w:ascii="Arial" w:eastAsia="Arial" w:hAnsi="Arial" w:cs="Arial"/>
          <w:b/>
          <w:bCs/>
          <w:color w:val="5A6472"/>
        </w:rPr>
        <w:t xml:space="preserve">Incubator:  </w:t>
      </w:r>
      <w:r>
        <w:rPr>
          <w:rFonts w:ascii="Arial" w:eastAsia="Arial" w:hAnsi="Arial" w:cs="Arial"/>
          <w:color w:val="1B2430"/>
        </w:rPr>
        <w:t>VNIT Venture Vault Foundation (V3F)</w:t>
      </w:r>
    </w:p>
    <w:p w14:paraId="633B6AEA" w14:textId="77777777" w:rsidR="00863331" w:rsidRDefault="00000000">
      <w:pPr>
        <w:spacing w:after="100"/>
      </w:pPr>
      <w:r>
        <w:rPr>
          <w:rFonts w:ascii="Arial" w:eastAsia="Arial" w:hAnsi="Arial" w:cs="Arial"/>
          <w:b/>
          <w:bCs/>
          <w:color w:val="5A6472"/>
        </w:rPr>
        <w:t xml:space="preserve">Academic Mentor:  </w:t>
      </w:r>
      <w:r>
        <w:rPr>
          <w:rFonts w:ascii="Arial" w:eastAsia="Arial" w:hAnsi="Arial" w:cs="Arial"/>
          <w:color w:val="1B2430"/>
        </w:rPr>
        <w:t>Dr. J. Bhukya</w:t>
      </w:r>
    </w:p>
    <w:p w14:paraId="7981710A" w14:textId="77777777" w:rsidR="00863331" w:rsidRDefault="00000000">
      <w:pPr>
        <w:spacing w:before="40" w:after="120"/>
      </w:pPr>
      <w:r>
        <w:rPr>
          <w:rFonts w:ascii="Arial" w:eastAsia="Arial" w:hAnsi="Arial" w:cs="Arial"/>
          <w:b/>
          <w:bCs/>
          <w:caps/>
          <w:color w:val="E8621A"/>
        </w:rPr>
        <w:t>The Problem &amp; Our Differentiation</w:t>
      </w:r>
    </w:p>
    <w:p w14:paraId="75DA8B42" w14:textId="77777777" w:rsidR="00863331" w:rsidRDefault="00000000">
      <w:pPr>
        <w:spacing w:after="120"/>
      </w:pPr>
      <w:r>
        <w:rPr>
          <w:rFonts w:ascii="Arial" w:eastAsia="Arial" w:hAnsi="Arial" w:cs="Arial"/>
          <w:color w:val="1B2430"/>
        </w:rPr>
        <w:t>Conventional small-wind systems require wind speeds above 5.0 m/s to begin generating power, leaving most inland Indian sites — where average wind speeds are far lower — unserved by wind energy. Solar alone is intermittent, and existing small-wind hardware is bulky, complex, and expensive to install.</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640"/>
      </w:tblGrid>
      <w:tr w:rsidR="00863331" w14:paraId="45D8C31B" w14:textId="77777777">
        <w:tblPrEx>
          <w:tblCellMar>
            <w:top w:w="0" w:type="dxa"/>
            <w:bottom w:w="0" w:type="dxa"/>
          </w:tblCellMar>
        </w:tblPrEx>
        <w:tc>
          <w:tcPr>
            <w:tcW w:w="2800" w:type="dxa"/>
            <w:shd w:val="clear" w:color="auto" w:fill="1B2430"/>
            <w:tcMar>
              <w:top w:w="100" w:type="dxa"/>
              <w:left w:w="120" w:type="dxa"/>
              <w:bottom w:w="100" w:type="dxa"/>
              <w:right w:w="120" w:type="dxa"/>
            </w:tcMar>
          </w:tcPr>
          <w:p w14:paraId="5C1D6247" w14:textId="77777777" w:rsidR="00863331" w:rsidRDefault="00000000">
            <w:r>
              <w:rPr>
                <w:rFonts w:ascii="Arial" w:eastAsia="Arial" w:hAnsi="Arial" w:cs="Arial"/>
                <w:b/>
                <w:bCs/>
                <w:color w:val="FFFFFF"/>
                <w:sz w:val="17"/>
                <w:szCs w:val="17"/>
              </w:rPr>
              <w:t>Vector</w:t>
            </w:r>
          </w:p>
        </w:tc>
        <w:tc>
          <w:tcPr>
            <w:tcW w:w="3800" w:type="dxa"/>
            <w:shd w:val="clear" w:color="auto" w:fill="1B2430"/>
            <w:tcMar>
              <w:top w:w="100" w:type="dxa"/>
              <w:left w:w="120" w:type="dxa"/>
              <w:bottom w:w="100" w:type="dxa"/>
              <w:right w:w="120" w:type="dxa"/>
            </w:tcMar>
          </w:tcPr>
          <w:p w14:paraId="6E502F02" w14:textId="77777777" w:rsidR="00863331" w:rsidRDefault="00000000">
            <w:r>
              <w:rPr>
                <w:rFonts w:ascii="Arial" w:eastAsia="Arial" w:hAnsi="Arial" w:cs="Arial"/>
                <w:b/>
                <w:bCs/>
                <w:color w:val="FFFFFF"/>
                <w:sz w:val="17"/>
                <w:szCs w:val="17"/>
              </w:rPr>
              <w:t>Conventional Small-Wind</w:t>
            </w:r>
          </w:p>
        </w:tc>
        <w:tc>
          <w:tcPr>
            <w:tcW w:w="3640" w:type="dxa"/>
            <w:shd w:val="clear" w:color="auto" w:fill="1B2430"/>
            <w:tcMar>
              <w:top w:w="100" w:type="dxa"/>
              <w:left w:w="120" w:type="dxa"/>
              <w:bottom w:w="100" w:type="dxa"/>
              <w:right w:w="120" w:type="dxa"/>
            </w:tcMar>
          </w:tcPr>
          <w:p w14:paraId="15284B2D" w14:textId="77777777" w:rsidR="00863331" w:rsidRDefault="00000000">
            <w:r>
              <w:rPr>
                <w:rFonts w:ascii="Arial" w:eastAsia="Arial" w:hAnsi="Arial" w:cs="Arial"/>
                <w:b/>
                <w:bCs/>
                <w:color w:val="FFFFFF"/>
                <w:sz w:val="17"/>
                <w:szCs w:val="17"/>
              </w:rPr>
              <w:t>Pawan Shakti</w:t>
            </w:r>
          </w:p>
        </w:tc>
      </w:tr>
      <w:tr w:rsidR="00863331" w14:paraId="728ED5FE"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27C1C0C5" w14:textId="77777777" w:rsidR="00863331" w:rsidRDefault="00000000">
            <w:r>
              <w:rPr>
                <w:rFonts w:ascii="Arial" w:eastAsia="Arial" w:hAnsi="Arial" w:cs="Arial"/>
                <w:color w:val="1B2430"/>
                <w:sz w:val="18"/>
                <w:szCs w:val="18"/>
              </w:rPr>
              <w:t>Cut-in wind speed</w:t>
            </w:r>
          </w:p>
        </w:tc>
        <w:tc>
          <w:tcPr>
            <w:tcW w:w="3800" w:type="dxa"/>
            <w:shd w:val="clear" w:color="auto" w:fill="FFFFFF"/>
            <w:tcMar>
              <w:top w:w="100" w:type="dxa"/>
              <w:left w:w="120" w:type="dxa"/>
              <w:bottom w:w="100" w:type="dxa"/>
              <w:right w:w="120" w:type="dxa"/>
            </w:tcMar>
          </w:tcPr>
          <w:p w14:paraId="4F0D16DD" w14:textId="77777777" w:rsidR="00863331" w:rsidRDefault="00000000">
            <w:r>
              <w:rPr>
                <w:rFonts w:ascii="Arial" w:eastAsia="Arial" w:hAnsi="Arial" w:cs="Arial"/>
                <w:color w:val="1B2430"/>
                <w:sz w:val="18"/>
                <w:szCs w:val="18"/>
              </w:rPr>
              <w:t>&gt; 5.0 m/s required</w:t>
            </w:r>
          </w:p>
        </w:tc>
        <w:tc>
          <w:tcPr>
            <w:tcW w:w="3640" w:type="dxa"/>
            <w:shd w:val="clear" w:color="auto" w:fill="FBEDE3"/>
            <w:tcMar>
              <w:top w:w="100" w:type="dxa"/>
              <w:left w:w="120" w:type="dxa"/>
              <w:bottom w:w="100" w:type="dxa"/>
              <w:right w:w="120" w:type="dxa"/>
            </w:tcMar>
          </w:tcPr>
          <w:p w14:paraId="4432F932" w14:textId="77777777" w:rsidR="00863331" w:rsidRDefault="00000000">
            <w:r>
              <w:rPr>
                <w:rFonts w:ascii="Arial" w:eastAsia="Arial" w:hAnsi="Arial" w:cs="Arial"/>
                <w:b/>
                <w:bCs/>
                <w:color w:val="1B2430"/>
                <w:sz w:val="18"/>
                <w:szCs w:val="18"/>
              </w:rPr>
              <w:t>Efficient at 1.5–3.5 m/s (micro-wind ready)</w:t>
            </w:r>
          </w:p>
        </w:tc>
      </w:tr>
      <w:tr w:rsidR="00863331" w14:paraId="4BF9BB72"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CB46183" w14:textId="77777777" w:rsidR="00863331" w:rsidRDefault="00000000">
            <w:r>
              <w:rPr>
                <w:rFonts w:ascii="Arial" w:eastAsia="Arial" w:hAnsi="Arial" w:cs="Arial"/>
                <w:color w:val="1B2430"/>
                <w:sz w:val="18"/>
                <w:szCs w:val="18"/>
              </w:rPr>
              <w:t>Availability</w:t>
            </w:r>
          </w:p>
        </w:tc>
        <w:tc>
          <w:tcPr>
            <w:tcW w:w="3800" w:type="dxa"/>
            <w:shd w:val="clear" w:color="auto" w:fill="FFFFFF"/>
            <w:tcMar>
              <w:top w:w="100" w:type="dxa"/>
              <w:left w:w="120" w:type="dxa"/>
              <w:bottom w:w="100" w:type="dxa"/>
              <w:right w:w="120" w:type="dxa"/>
            </w:tcMar>
          </w:tcPr>
          <w:p w14:paraId="5F0DE2B0" w14:textId="77777777" w:rsidR="00863331" w:rsidRDefault="00000000">
            <w:r>
              <w:rPr>
                <w:rFonts w:ascii="Arial" w:eastAsia="Arial" w:hAnsi="Arial" w:cs="Arial"/>
                <w:color w:val="1B2430"/>
                <w:sz w:val="18"/>
                <w:szCs w:val="18"/>
              </w:rPr>
              <w:t>Highly intermittent (solar/wind)</w:t>
            </w:r>
          </w:p>
        </w:tc>
        <w:tc>
          <w:tcPr>
            <w:tcW w:w="3640" w:type="dxa"/>
            <w:shd w:val="clear" w:color="auto" w:fill="FBEDE3"/>
            <w:tcMar>
              <w:top w:w="100" w:type="dxa"/>
              <w:left w:w="120" w:type="dxa"/>
              <w:bottom w:w="100" w:type="dxa"/>
              <w:right w:w="120" w:type="dxa"/>
            </w:tcMar>
          </w:tcPr>
          <w:p w14:paraId="32BE5CC5" w14:textId="77777777" w:rsidR="00863331" w:rsidRDefault="00000000">
            <w:r>
              <w:rPr>
                <w:rFonts w:ascii="Arial" w:eastAsia="Arial" w:hAnsi="Arial" w:cs="Arial"/>
                <w:b/>
                <w:bCs/>
                <w:color w:val="1B2430"/>
                <w:sz w:val="18"/>
                <w:szCs w:val="18"/>
              </w:rPr>
              <w:t>Maximum active time; bypasses solar gaps</w:t>
            </w:r>
          </w:p>
        </w:tc>
      </w:tr>
      <w:tr w:rsidR="00863331" w14:paraId="0547051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698E200" w14:textId="77777777" w:rsidR="00863331" w:rsidRDefault="00000000">
            <w:r>
              <w:rPr>
                <w:rFonts w:ascii="Arial" w:eastAsia="Arial" w:hAnsi="Arial" w:cs="Arial"/>
                <w:color w:val="1B2430"/>
                <w:sz w:val="18"/>
                <w:szCs w:val="18"/>
              </w:rPr>
              <w:t>Footprint</w:t>
            </w:r>
          </w:p>
        </w:tc>
        <w:tc>
          <w:tcPr>
            <w:tcW w:w="3800" w:type="dxa"/>
            <w:shd w:val="clear" w:color="auto" w:fill="FFFFFF"/>
            <w:tcMar>
              <w:top w:w="100" w:type="dxa"/>
              <w:left w:w="120" w:type="dxa"/>
              <w:bottom w:w="100" w:type="dxa"/>
              <w:right w:w="120" w:type="dxa"/>
            </w:tcMar>
          </w:tcPr>
          <w:p w14:paraId="7222EED1" w14:textId="77777777" w:rsidR="00863331" w:rsidRDefault="00000000">
            <w:r>
              <w:rPr>
                <w:rFonts w:ascii="Arial" w:eastAsia="Arial" w:hAnsi="Arial" w:cs="Arial"/>
                <w:color w:val="1B2430"/>
                <w:sz w:val="18"/>
                <w:szCs w:val="18"/>
              </w:rPr>
              <w:t>Bulky, industrial, unfit for rooftops</w:t>
            </w:r>
          </w:p>
        </w:tc>
        <w:tc>
          <w:tcPr>
            <w:tcW w:w="3640" w:type="dxa"/>
            <w:shd w:val="clear" w:color="auto" w:fill="FBEDE3"/>
            <w:tcMar>
              <w:top w:w="100" w:type="dxa"/>
              <w:left w:w="120" w:type="dxa"/>
              <w:bottom w:w="100" w:type="dxa"/>
              <w:right w:w="120" w:type="dxa"/>
            </w:tcMar>
          </w:tcPr>
          <w:p w14:paraId="4130B971" w14:textId="77777777" w:rsidR="00863331" w:rsidRDefault="00000000">
            <w:r>
              <w:rPr>
                <w:rFonts w:ascii="Arial" w:eastAsia="Arial" w:hAnsi="Arial" w:cs="Arial"/>
                <w:b/>
                <w:bCs/>
                <w:color w:val="1B2430"/>
                <w:sz w:val="18"/>
                <w:szCs w:val="18"/>
              </w:rPr>
              <w:t>Compact, simple local assembly</w:t>
            </w:r>
          </w:p>
        </w:tc>
      </w:tr>
      <w:tr w:rsidR="00863331" w14:paraId="0A411544"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109AD917" w14:textId="77777777" w:rsidR="00863331" w:rsidRDefault="00000000">
            <w:r>
              <w:rPr>
                <w:rFonts w:ascii="Arial" w:eastAsia="Arial" w:hAnsi="Arial" w:cs="Arial"/>
                <w:color w:val="1B2430"/>
                <w:sz w:val="18"/>
                <w:szCs w:val="18"/>
              </w:rPr>
              <w:t>Unit cost</w:t>
            </w:r>
          </w:p>
        </w:tc>
        <w:tc>
          <w:tcPr>
            <w:tcW w:w="3800" w:type="dxa"/>
            <w:shd w:val="clear" w:color="auto" w:fill="FFFFFF"/>
            <w:tcMar>
              <w:top w:w="100" w:type="dxa"/>
              <w:left w:w="120" w:type="dxa"/>
              <w:bottom w:w="100" w:type="dxa"/>
              <w:right w:w="120" w:type="dxa"/>
            </w:tcMar>
          </w:tcPr>
          <w:p w14:paraId="1F86EE65" w14:textId="77777777" w:rsidR="00863331" w:rsidRDefault="00000000">
            <w:r>
              <w:rPr>
                <w:rFonts w:ascii="Arial" w:eastAsia="Arial" w:hAnsi="Arial" w:cs="Arial"/>
                <w:color w:val="1B2430"/>
                <w:sz w:val="18"/>
                <w:szCs w:val="18"/>
              </w:rPr>
              <w:t>Prohibitively high</w:t>
            </w:r>
          </w:p>
        </w:tc>
        <w:tc>
          <w:tcPr>
            <w:tcW w:w="3640" w:type="dxa"/>
            <w:shd w:val="clear" w:color="auto" w:fill="FBEDE3"/>
            <w:tcMar>
              <w:top w:w="100" w:type="dxa"/>
              <w:left w:w="120" w:type="dxa"/>
              <w:bottom w:w="100" w:type="dxa"/>
              <w:right w:w="120" w:type="dxa"/>
            </w:tcMar>
          </w:tcPr>
          <w:p w14:paraId="16746486" w14:textId="77777777" w:rsidR="00863331" w:rsidRDefault="00000000">
            <w:r>
              <w:rPr>
                <w:rFonts w:ascii="Arial" w:eastAsia="Arial" w:hAnsi="Arial" w:cs="Arial"/>
                <w:b/>
                <w:bCs/>
                <w:color w:val="1B2430"/>
                <w:sz w:val="18"/>
                <w:szCs w:val="18"/>
              </w:rPr>
              <w:t>~₹35,000 for mass deployment</w:t>
            </w:r>
          </w:p>
        </w:tc>
      </w:tr>
    </w:tbl>
    <w:p w14:paraId="7DD98819" w14:textId="77777777" w:rsidR="00863331" w:rsidRDefault="00000000">
      <w:pPr>
        <w:spacing w:before="40" w:after="120"/>
      </w:pPr>
      <w:r>
        <w:rPr>
          <w:rFonts w:ascii="Arial" w:eastAsia="Arial" w:hAnsi="Arial" w:cs="Arial"/>
          <w:b/>
          <w:bCs/>
          <w:caps/>
          <w:color w:val="E8621A"/>
        </w:rPr>
        <w:t>Hero Product: 100W Modular Wind System</w:t>
      </w:r>
    </w:p>
    <w:p w14:paraId="1D472257" w14:textId="77777777" w:rsidR="00863331" w:rsidRDefault="00000000">
      <w:pPr>
        <w:spacing w:after="120"/>
      </w:pPr>
      <w:r>
        <w:rPr>
          <w:rFonts w:ascii="Arial" w:eastAsia="Arial" w:hAnsi="Arial" w:cs="Arial"/>
          <w:color w:val="1B2430"/>
        </w:rPr>
        <w:t>A 100 W modular SSWT explicitly optimized for wind speeds under 5 m/s, combining:</w:t>
      </w:r>
    </w:p>
    <w:p w14:paraId="4CFD35CD" w14:textId="77777777" w:rsidR="00863331" w:rsidRDefault="00000000">
      <w:pPr>
        <w:pStyle w:val="ListParagraph"/>
        <w:numPr>
          <w:ilvl w:val="0"/>
          <w:numId w:val="2"/>
        </w:numPr>
        <w:spacing w:after="60"/>
      </w:pPr>
      <w:r>
        <w:rPr>
          <w:rFonts w:ascii="Arial" w:eastAsia="Arial" w:hAnsi="Arial" w:cs="Arial"/>
          <w:color w:val="1B2430"/>
        </w:rPr>
        <w:t>CFD-designed multi-propeller blades for enhanced aerodynamic efficiency at low wind speeds</w:t>
      </w:r>
    </w:p>
    <w:p w14:paraId="2905DD47" w14:textId="77777777" w:rsidR="00863331" w:rsidRDefault="00000000">
      <w:pPr>
        <w:pStyle w:val="ListParagraph"/>
        <w:numPr>
          <w:ilvl w:val="0"/>
          <w:numId w:val="2"/>
        </w:numPr>
        <w:spacing w:after="60"/>
      </w:pPr>
      <w:r>
        <w:rPr>
          <w:rFonts w:ascii="Arial" w:eastAsia="Arial" w:hAnsi="Arial" w:cs="Arial"/>
          <w:color w:val="1B2430"/>
        </w:rPr>
        <w:t>A compact planetary gearbox-generator system (pressure angle –20°) for speed and torque enhancement</w:t>
      </w:r>
    </w:p>
    <w:p w14:paraId="6106C488" w14:textId="77777777" w:rsidR="00863331" w:rsidRDefault="00000000">
      <w:pPr>
        <w:pStyle w:val="ListParagraph"/>
        <w:numPr>
          <w:ilvl w:val="0"/>
          <w:numId w:val="2"/>
        </w:numPr>
        <w:spacing w:after="60"/>
      </w:pPr>
      <w:r>
        <w:rPr>
          <w:rFonts w:ascii="Arial" w:eastAsia="Arial" w:hAnsi="Arial" w:cs="Arial"/>
          <w:color w:val="1B2430"/>
        </w:rPr>
        <w:t>A DC generator rated 110 V DC, 3500 RPM, 100 W per unit, feeding a pure sine-wave DC-to-AC inverter (230 V AC, 50 Hz) via a 12 V, 100 Ah battery</w:t>
      </w:r>
    </w:p>
    <w:p w14:paraId="5BAE8A25" w14:textId="77777777" w:rsidR="00863331" w:rsidRDefault="00000000">
      <w:pPr>
        <w:pStyle w:val="ListParagraph"/>
        <w:numPr>
          <w:ilvl w:val="0"/>
          <w:numId w:val="2"/>
        </w:numPr>
        <w:spacing w:after="60"/>
      </w:pPr>
      <w:r>
        <w:rPr>
          <w:rFonts w:ascii="Arial" w:eastAsia="Arial" w:hAnsi="Arial" w:cs="Arial"/>
          <w:color w:val="1B2430"/>
        </w:rPr>
        <w:t>Cut-in speed 2.3–2.5 m/s, cut-off speed 25 m/s — powering mobile charging, LED/CFL lighting, fans, small agricultural water pumps, and other domestic/agricultural loads</w:t>
      </w:r>
    </w:p>
    <w:p w14:paraId="51F68721" w14:textId="77777777" w:rsidR="00863331" w:rsidRDefault="00000000">
      <w:pPr>
        <w:spacing w:after="120"/>
      </w:pPr>
      <w:r>
        <w:rPr>
          <w:rFonts w:ascii="Arial" w:eastAsia="Arial" w:hAnsi="Arial" w:cs="Arial"/>
          <w:color w:val="1B2430"/>
        </w:rPr>
        <w:t>The system has progressed through Mark-3, Mark-4, and Mark-5 prototypes, with three- and four-propeller 100 W configurations validated in wind tunnel testing at VNIT Nagpur, and is supported by two academic papers: “Affordable Low-Wind Rooftop Wind Turbine Energy System Design for Rural Electrification” and “A Space-Efficient Multi-Rotor Wind Turbine System for Decentralized Power.”</w:t>
      </w:r>
    </w:p>
    <w:p w14:paraId="79AAE715" w14:textId="77777777" w:rsidR="00863331" w:rsidRDefault="00000000">
      <w:pPr>
        <w:spacing w:before="40" w:after="120"/>
      </w:pPr>
      <w:r>
        <w:rPr>
          <w:rFonts w:ascii="Arial" w:eastAsia="Arial" w:hAnsi="Arial" w:cs="Arial"/>
          <w:b/>
          <w:bCs/>
          <w:caps/>
          <w:color w:val="E8621A"/>
        </w:rPr>
        <w:t>IP &amp; Strategic Backing</w:t>
      </w:r>
    </w:p>
    <w:p w14:paraId="2C7018A0" w14:textId="77777777" w:rsidR="00863331" w:rsidRDefault="00000000">
      <w:pPr>
        <w:pStyle w:val="ListParagraph"/>
        <w:numPr>
          <w:ilvl w:val="0"/>
          <w:numId w:val="2"/>
        </w:numPr>
        <w:spacing w:after="60"/>
      </w:pPr>
      <w:r>
        <w:rPr>
          <w:rFonts w:ascii="Arial" w:eastAsia="Arial" w:hAnsi="Arial" w:cs="Arial"/>
          <w:color w:val="1B2430"/>
        </w:rPr>
        <w:t>Published patent: “Compact Wind Turbine with Planetary Gears” (2025); active filing in progress for turbine and magnetic gear integration</w:t>
      </w:r>
    </w:p>
    <w:p w14:paraId="636D7FAD" w14:textId="77777777" w:rsidR="00863331" w:rsidRDefault="00000000">
      <w:pPr>
        <w:pStyle w:val="ListParagraph"/>
        <w:numPr>
          <w:ilvl w:val="0"/>
          <w:numId w:val="2"/>
        </w:numPr>
        <w:spacing w:after="60"/>
      </w:pPr>
      <w:r>
        <w:rPr>
          <w:rFonts w:ascii="Arial" w:eastAsia="Arial" w:hAnsi="Arial" w:cs="Arial"/>
          <w:color w:val="1B2430"/>
        </w:rPr>
        <w:t>Supported by ANRF accelerated research grants and the CBDE R&amp;D scheme</w:t>
      </w:r>
    </w:p>
    <w:p w14:paraId="7AC7E99C" w14:textId="77777777" w:rsidR="00863331" w:rsidRDefault="00000000">
      <w:pPr>
        <w:pStyle w:val="ListParagraph"/>
        <w:numPr>
          <w:ilvl w:val="0"/>
          <w:numId w:val="2"/>
        </w:numPr>
        <w:spacing w:after="60"/>
      </w:pPr>
      <w:r>
        <w:rPr>
          <w:rFonts w:ascii="Arial" w:eastAsia="Arial" w:hAnsi="Arial" w:cs="Arial"/>
          <w:color w:val="1B2430"/>
        </w:rPr>
        <w:t>Incubated by VNIT Venture Vault Foundation (V3F)</w:t>
      </w:r>
    </w:p>
    <w:p w14:paraId="6259F6BD" w14:textId="77777777" w:rsidR="00863331" w:rsidRDefault="00000000">
      <w:pPr>
        <w:spacing w:before="40" w:after="120"/>
      </w:pPr>
      <w:r>
        <w:rPr>
          <w:rFonts w:ascii="Arial" w:eastAsia="Arial" w:hAnsi="Arial" w:cs="Arial"/>
          <w:b/>
          <w:bCs/>
          <w:caps/>
          <w:color w:val="E8621A"/>
        </w:rPr>
        <w:t>Where This Fits</w:t>
      </w:r>
    </w:p>
    <w:p w14:paraId="305B8E3F" w14:textId="77777777" w:rsidR="00863331" w:rsidRDefault="00000000">
      <w:pPr>
        <w:spacing w:after="120"/>
      </w:pPr>
      <w:r>
        <w:rPr>
          <w:rFonts w:ascii="Arial" w:eastAsia="Arial" w:hAnsi="Arial" w:cs="Arial"/>
          <w:color w:val="1B2430"/>
        </w:rPr>
        <w:t xml:space="preserve">Pawan Shakti is positioned as a complement to rooftop solar rather than a replacement — providing decentralized, reliable power that offsets </w:t>
      </w:r>
      <w:proofErr w:type="spellStart"/>
      <w:r>
        <w:rPr>
          <w:rFonts w:ascii="Arial" w:eastAsia="Arial" w:hAnsi="Arial" w:cs="Arial"/>
          <w:color w:val="1B2430"/>
        </w:rPr>
        <w:t>solar's</w:t>
      </w:r>
      <w:proofErr w:type="spellEnd"/>
      <w:r>
        <w:rPr>
          <w:rFonts w:ascii="Arial" w:eastAsia="Arial" w:hAnsi="Arial" w:cs="Arial"/>
          <w:color w:val="1B2430"/>
        </w:rPr>
        <w:t xml:space="preserve"> intermittency for rural households, small farms, micro-grids, telecom towers, and remote monitoring stations. It targets segments across residential rooftops, rural schools &amp; clinics, and disaster-relief backup power.</w:t>
      </w:r>
    </w:p>
    <w:p w14:paraId="436CDBB5" w14:textId="77777777" w:rsidR="00863331" w:rsidRDefault="00000000">
      <w:pPr>
        <w:spacing w:before="40" w:after="120"/>
      </w:pPr>
      <w:r>
        <w:rPr>
          <w:rFonts w:ascii="Arial" w:eastAsia="Arial" w:hAnsi="Arial" w:cs="Arial"/>
          <w:b/>
          <w:bCs/>
          <w:caps/>
          <w:color w:val="E8621A"/>
        </w:rPr>
        <w:lastRenderedPageBreak/>
        <w:t>Our Aim</w:t>
      </w:r>
    </w:p>
    <w:p w14:paraId="423579E8" w14:textId="77777777" w:rsidR="00863331" w:rsidRDefault="00000000">
      <w:pPr>
        <w:spacing w:after="120"/>
      </w:pPr>
      <w:r>
        <w:rPr>
          <w:rFonts w:ascii="Arial" w:eastAsia="Arial" w:hAnsi="Arial" w:cs="Arial"/>
          <w:color w:val="1B2430"/>
        </w:rPr>
        <w:t>Our goal is to take Pawan Shakti beyond a validated lab prototype and build it into a real, industry-grade product — one that is manufacturable at scale, reliable in the field, and ready for wider deployment. This means strengthening the engineering (blade aerodynamics, gearbox and generator design, power electronics), running structured field trials to prove durability and energy yield under real-world conditions, and setting up a repeatable local-assembly and manufacturing process.</w:t>
      </w:r>
    </w:p>
    <w:p w14:paraId="18929A3E" w14:textId="77777777" w:rsidR="00863331" w:rsidRDefault="00000000">
      <w:pPr>
        <w:spacing w:after="120"/>
      </w:pPr>
      <w:r>
        <w:rPr>
          <w:rFonts w:ascii="Arial" w:eastAsia="Arial" w:hAnsi="Arial" w:cs="Arial"/>
          <w:color w:val="1B2430"/>
        </w:rPr>
        <w:t>Beyond the turbine itself, this project is central to growing the startup as a whole — building out the team, formalizing our IP position, and establishing the partnerships and manufacturing know-how needed to move from a university project to a functioning company.</w:t>
      </w:r>
    </w:p>
    <w:p w14:paraId="797AE505" w14:textId="77777777" w:rsidR="00863331" w:rsidRDefault="00000000">
      <w:pPr>
        <w:spacing w:before="40" w:after="120"/>
      </w:pPr>
      <w:r>
        <w:rPr>
          <w:rFonts w:ascii="Arial" w:eastAsia="Arial" w:hAnsi="Arial" w:cs="Arial"/>
          <w:b/>
          <w:bCs/>
          <w:caps/>
          <w:color w:val="E8621A"/>
        </w:rPr>
        <w:t>Core Team</w:t>
      </w:r>
    </w:p>
    <w:p w14:paraId="7AB0DB96" w14:textId="098EA841" w:rsidR="00863331" w:rsidRDefault="00000000">
      <w:pPr>
        <w:spacing w:after="120"/>
      </w:pPr>
      <w:r>
        <w:rPr>
          <w:rFonts w:ascii="Arial" w:eastAsia="Arial" w:hAnsi="Arial" w:cs="Arial"/>
          <w:color w:val="1B2430"/>
        </w:rPr>
        <w:t xml:space="preserve">Yaswanth (Founder &amp; Lead) drives strategy, vision, and commercialization, with Dr. J. Bhukya as Academic Mentor providing strategic oversight and research guidance. The engineering team covers CAD &amp; </w:t>
      </w:r>
      <w:proofErr w:type="spellStart"/>
      <w:r>
        <w:rPr>
          <w:rFonts w:ascii="Arial" w:eastAsia="Arial" w:hAnsi="Arial" w:cs="Arial"/>
          <w:color w:val="1B2430"/>
        </w:rPr>
        <w:t>modeling</w:t>
      </w:r>
      <w:proofErr w:type="spellEnd"/>
      <w:r>
        <w:rPr>
          <w:rFonts w:ascii="Arial" w:eastAsia="Arial" w:hAnsi="Arial" w:cs="Arial"/>
          <w:color w:val="1B2430"/>
        </w:rPr>
        <w:t>, blade design (CFD/aerodynamics), electronics (embedded systems &amp; PCB), system integration, generator R&amp;D, power electronics, prototyping/workshop operations, and field deployment logistics.</w:t>
      </w:r>
    </w:p>
    <w:p w14:paraId="05C60E05" w14:textId="3DED3144" w:rsidR="00863331" w:rsidRDefault="00DA0605">
      <w:r w:rsidRPr="00DA0605">
        <w:drawing>
          <wp:anchor distT="0" distB="0" distL="114300" distR="114300" simplePos="0" relativeHeight="251660288" behindDoc="0" locked="0" layoutInCell="1" allowOverlap="1" wp14:anchorId="266B3283" wp14:editId="4F7CD4CD">
            <wp:simplePos x="0" y="0"/>
            <wp:positionH relativeFrom="column">
              <wp:posOffset>276225</wp:posOffset>
            </wp:positionH>
            <wp:positionV relativeFrom="paragraph">
              <wp:posOffset>237490</wp:posOffset>
            </wp:positionV>
            <wp:extent cx="2561590" cy="3799205"/>
            <wp:effectExtent l="0" t="0" r="0" b="0"/>
            <wp:wrapNone/>
            <wp:docPr id="145" name="Google Shape;145;p16"/>
            <wp:cNvGraphicFramePr/>
            <a:graphic xmlns:a="http://schemas.openxmlformats.org/drawingml/2006/main">
              <a:graphicData uri="http://schemas.openxmlformats.org/drawingml/2006/picture">
                <pic:pic xmlns:pic="http://schemas.openxmlformats.org/drawingml/2006/picture">
                  <pic:nvPicPr>
                    <pic:cNvPr id="145" name="Google Shape;145;p16"/>
                    <pic:cNvPicPr preferRelativeResize="0"/>
                  </pic:nvPicPr>
                  <pic:blipFill rotWithShape="1">
                    <a:blip r:embed="rId5">
                      <a:alphaModFix/>
                    </a:blip>
                    <a:srcRect l="3649" t="17844" r="9045"/>
                    <a:stretch/>
                  </pic:blipFill>
                  <pic:spPr>
                    <a:xfrm>
                      <a:off x="0" y="0"/>
                      <a:ext cx="2561590" cy="3799205"/>
                    </a:xfrm>
                    <a:prstGeom prst="rect">
                      <a:avLst/>
                    </a:prstGeom>
                    <a:noFill/>
                    <a:ln>
                      <a:noFill/>
                    </a:ln>
                  </pic:spPr>
                </pic:pic>
              </a:graphicData>
            </a:graphic>
          </wp:anchor>
        </w:drawing>
      </w:r>
      <w:r w:rsidRPr="00DA0605">
        <w:drawing>
          <wp:anchor distT="0" distB="0" distL="114300" distR="114300" simplePos="0" relativeHeight="251661312" behindDoc="0" locked="0" layoutInCell="1" allowOverlap="1" wp14:anchorId="62E46E48" wp14:editId="17FE2434">
            <wp:simplePos x="0" y="0"/>
            <wp:positionH relativeFrom="column">
              <wp:posOffset>3375025</wp:posOffset>
            </wp:positionH>
            <wp:positionV relativeFrom="paragraph">
              <wp:posOffset>2079625</wp:posOffset>
            </wp:positionV>
            <wp:extent cx="1809750" cy="2001751"/>
            <wp:effectExtent l="0" t="0" r="0" b="0"/>
            <wp:wrapNone/>
            <wp:docPr id="146" name="Google Shape;146;p16"/>
            <wp:cNvGraphicFramePr/>
            <a:graphic xmlns:a="http://schemas.openxmlformats.org/drawingml/2006/main">
              <a:graphicData uri="http://schemas.openxmlformats.org/drawingml/2006/picture">
                <pic:pic xmlns:pic="http://schemas.openxmlformats.org/drawingml/2006/picture">
                  <pic:nvPicPr>
                    <pic:cNvPr id="146" name="Google Shape;146;p16"/>
                    <pic:cNvPicPr preferRelativeResize="0"/>
                  </pic:nvPicPr>
                  <pic:blipFill rotWithShape="1">
                    <a:blip r:embed="rId6">
                      <a:alphaModFix/>
                    </a:blip>
                    <a:srcRect/>
                    <a:stretch/>
                  </pic:blipFill>
                  <pic:spPr>
                    <a:xfrm>
                      <a:off x="0" y="0"/>
                      <a:ext cx="1809750" cy="20017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0605">
        <w:drawing>
          <wp:anchor distT="0" distB="0" distL="114300" distR="114300" simplePos="0" relativeHeight="251659264" behindDoc="0" locked="0" layoutInCell="1" allowOverlap="1" wp14:anchorId="3CAD57BF" wp14:editId="2D86DBD3">
            <wp:simplePos x="0" y="0"/>
            <wp:positionH relativeFrom="column">
              <wp:posOffset>3346450</wp:posOffset>
            </wp:positionH>
            <wp:positionV relativeFrom="paragraph">
              <wp:posOffset>298450</wp:posOffset>
            </wp:positionV>
            <wp:extent cx="1819275" cy="1695450"/>
            <wp:effectExtent l="0" t="0" r="9525" b="0"/>
            <wp:wrapNone/>
            <wp:docPr id="144" name="Google Shape;144;p16"/>
            <wp:cNvGraphicFramePr/>
            <a:graphic xmlns:a="http://schemas.openxmlformats.org/drawingml/2006/main">
              <a:graphicData uri="http://schemas.openxmlformats.org/drawingml/2006/picture">
                <pic:pic xmlns:pic="http://schemas.openxmlformats.org/drawingml/2006/picture">
                  <pic:nvPicPr>
                    <pic:cNvPr id="144" name="Google Shape;144;p16"/>
                    <pic:cNvPicPr preferRelativeResize="0"/>
                  </pic:nvPicPr>
                  <pic:blipFill rotWithShape="1">
                    <a:blip r:embed="rId7">
                      <a:alphaModFix/>
                    </a:blip>
                    <a:srcRect l="12456" t="9496" r="13841" b="-7795"/>
                    <a:stretch/>
                  </pic:blipFill>
                  <pic:spPr>
                    <a:xfrm>
                      <a:off x="0" y="0"/>
                      <a:ext cx="1819275" cy="1695450"/>
                    </a:xfrm>
                    <a:prstGeom prst="rect">
                      <a:avLst/>
                    </a:prstGeom>
                    <a:solidFill>
                      <a:srgbClr val="000000">
                        <a:alpha val="0"/>
                      </a:srgbClr>
                    </a:solidFill>
                    <a:ln>
                      <a:noFill/>
                    </a:ln>
                  </pic:spPr>
                </pic:pic>
              </a:graphicData>
            </a:graphic>
            <wp14:sizeRelH relativeFrom="margin">
              <wp14:pctWidth>0</wp14:pctWidth>
            </wp14:sizeRelH>
            <wp14:sizeRelV relativeFrom="margin">
              <wp14:pctHeight>0</wp14:pctHeight>
            </wp14:sizeRelV>
          </wp:anchor>
        </w:drawing>
      </w:r>
    </w:p>
    <w:sectPr w:rsidR="00863331">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E0DB0"/>
    <w:multiLevelType w:val="hybridMultilevel"/>
    <w:tmpl w:val="8864E696"/>
    <w:lvl w:ilvl="0" w:tplc="C0B69700">
      <w:start w:val="1"/>
      <w:numFmt w:val="bullet"/>
      <w:lvlText w:val="●"/>
      <w:lvlJc w:val="left"/>
      <w:pPr>
        <w:ind w:left="720" w:hanging="360"/>
      </w:pPr>
    </w:lvl>
    <w:lvl w:ilvl="1" w:tplc="708C4C60">
      <w:start w:val="1"/>
      <w:numFmt w:val="bullet"/>
      <w:lvlText w:val="○"/>
      <w:lvlJc w:val="left"/>
      <w:pPr>
        <w:ind w:left="1440" w:hanging="360"/>
      </w:pPr>
    </w:lvl>
    <w:lvl w:ilvl="2" w:tplc="4ECEBD30">
      <w:start w:val="1"/>
      <w:numFmt w:val="bullet"/>
      <w:lvlText w:val="■"/>
      <w:lvlJc w:val="left"/>
      <w:pPr>
        <w:ind w:left="2160" w:hanging="360"/>
      </w:pPr>
    </w:lvl>
    <w:lvl w:ilvl="3" w:tplc="5D063AB6">
      <w:start w:val="1"/>
      <w:numFmt w:val="bullet"/>
      <w:lvlText w:val="●"/>
      <w:lvlJc w:val="left"/>
      <w:pPr>
        <w:ind w:left="2880" w:hanging="360"/>
      </w:pPr>
    </w:lvl>
    <w:lvl w:ilvl="4" w:tplc="A6E8BF2E">
      <w:start w:val="1"/>
      <w:numFmt w:val="bullet"/>
      <w:lvlText w:val="○"/>
      <w:lvlJc w:val="left"/>
      <w:pPr>
        <w:ind w:left="3600" w:hanging="360"/>
      </w:pPr>
    </w:lvl>
    <w:lvl w:ilvl="5" w:tplc="FDF075DC">
      <w:start w:val="1"/>
      <w:numFmt w:val="bullet"/>
      <w:lvlText w:val="■"/>
      <w:lvlJc w:val="left"/>
      <w:pPr>
        <w:ind w:left="4320" w:hanging="360"/>
      </w:pPr>
    </w:lvl>
    <w:lvl w:ilvl="6" w:tplc="E9B0835C">
      <w:start w:val="1"/>
      <w:numFmt w:val="bullet"/>
      <w:lvlText w:val="●"/>
      <w:lvlJc w:val="left"/>
      <w:pPr>
        <w:ind w:left="5040" w:hanging="360"/>
      </w:pPr>
    </w:lvl>
    <w:lvl w:ilvl="7" w:tplc="CF104F96">
      <w:start w:val="1"/>
      <w:numFmt w:val="bullet"/>
      <w:lvlText w:val="●"/>
      <w:lvlJc w:val="left"/>
      <w:pPr>
        <w:ind w:left="5760" w:hanging="360"/>
      </w:pPr>
    </w:lvl>
    <w:lvl w:ilvl="8" w:tplc="988A6194">
      <w:start w:val="1"/>
      <w:numFmt w:val="bullet"/>
      <w:lvlText w:val="●"/>
      <w:lvlJc w:val="left"/>
      <w:pPr>
        <w:ind w:left="6480" w:hanging="360"/>
      </w:pPr>
    </w:lvl>
  </w:abstractNum>
  <w:abstractNum w:abstractNumId="1" w15:restartNumberingAfterBreak="0">
    <w:nsid w:val="74215B5A"/>
    <w:multiLevelType w:val="hybridMultilevel"/>
    <w:tmpl w:val="977E636E"/>
    <w:lvl w:ilvl="0" w:tplc="CBD409FE">
      <w:start w:val="1"/>
      <w:numFmt w:val="bullet"/>
      <w:lvlText w:val="•"/>
      <w:lvlJc w:val="left"/>
      <w:pPr>
        <w:ind w:left="360" w:hanging="215"/>
      </w:pPr>
    </w:lvl>
    <w:lvl w:ilvl="1" w:tplc="CF68427E">
      <w:numFmt w:val="decimal"/>
      <w:lvlText w:val=""/>
      <w:lvlJc w:val="left"/>
    </w:lvl>
    <w:lvl w:ilvl="2" w:tplc="41CCA9F8">
      <w:numFmt w:val="decimal"/>
      <w:lvlText w:val=""/>
      <w:lvlJc w:val="left"/>
    </w:lvl>
    <w:lvl w:ilvl="3" w:tplc="16946F16">
      <w:numFmt w:val="decimal"/>
      <w:lvlText w:val=""/>
      <w:lvlJc w:val="left"/>
    </w:lvl>
    <w:lvl w:ilvl="4" w:tplc="04D4AAF2">
      <w:numFmt w:val="decimal"/>
      <w:lvlText w:val=""/>
      <w:lvlJc w:val="left"/>
    </w:lvl>
    <w:lvl w:ilvl="5" w:tplc="96F6F2E0">
      <w:numFmt w:val="decimal"/>
      <w:lvlText w:val=""/>
      <w:lvlJc w:val="left"/>
    </w:lvl>
    <w:lvl w:ilvl="6" w:tplc="33E41F20">
      <w:numFmt w:val="decimal"/>
      <w:lvlText w:val=""/>
      <w:lvlJc w:val="left"/>
    </w:lvl>
    <w:lvl w:ilvl="7" w:tplc="7AEAD1A4">
      <w:numFmt w:val="decimal"/>
      <w:lvlText w:val=""/>
      <w:lvlJc w:val="left"/>
    </w:lvl>
    <w:lvl w:ilvl="8" w:tplc="00868FCA">
      <w:numFmt w:val="decimal"/>
      <w:lvlText w:val=""/>
      <w:lvlJc w:val="left"/>
    </w:lvl>
  </w:abstractNum>
  <w:num w:numId="1" w16cid:durableId="296110190">
    <w:abstractNumId w:val="0"/>
    <w:lvlOverride w:ilvl="0">
      <w:startOverride w:val="1"/>
    </w:lvlOverride>
  </w:num>
  <w:num w:numId="2" w16cid:durableId="663317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31"/>
    <w:rsid w:val="00560001"/>
    <w:rsid w:val="00863331"/>
    <w:rsid w:val="00DA06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8673"/>
  <w15:docId w15:val="{E3B869AD-FF3B-40DC-AEB5-E759D12A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REC VNIT</cp:lastModifiedBy>
  <cp:revision>2</cp:revision>
  <dcterms:created xsi:type="dcterms:W3CDTF">2026-09-12T10:05:00Z</dcterms:created>
  <dcterms:modified xsi:type="dcterms:W3CDTF">2026-09-12T10:15:00Z</dcterms:modified>
</cp:coreProperties>
</file>