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Risk Management Plan</w:t>
      </w:r>
    </w:p>
    <w:p>
      <w:pPr>
        <w:pStyle w:val="Heading1"/>
      </w:pPr>
      <w:r>
        <w:t xml:space="preserve">RISK CATEGORIES</w:t>
      </w:r>
    </w:p>
    <w:p>
      <w:r>
        <w:t xml:space="preserve">Schedule, Budget, Resource, Technical, Vendor/Third-party, Compliance/Legal, Scope Change, Security, Stakeholder.</w:t>
      </w:r>
    </w:p>
    <w:p>
      <w:pPr>
        <w:pStyle w:val="Heading1"/>
      </w:pPr>
      <w:r>
        <w:t xml:space="preserve">RISK IDENTIFICATION</w:t>
      </w:r>
    </w:p>
    <w:p>
      <w:r>
        <w:t xml:space="preserve">Risks are identified through weekly status reviews, retrospectives, automated signals from the platform (late tasks, burn-rate spikes, repeated change requests), and stakeholder reporting.</w:t>
      </w:r>
    </w:p>
    <w:p>
      <w:pPr>
        <w:pStyle w:val="Heading1"/>
      </w:pPr>
      <w:r>
        <w:t xml:space="preserve">RISK SCORING</w:t>
      </w:r>
    </w:p>
    <w:p>
      <w:r>
        <w:t xml:space="preserve">Score = Likelihood (1-5) x Impact (1-5).</w:t>
      </w:r>
    </w:p>
    <w:p>
      <w:r>
        <w:t xml:space="preserve">Likelihood: 1 Rare, 2 Unlikely, 3 Possible, 4 Likely, 5 Almost certain.</w:t>
      </w:r>
    </w:p>
    <w:p>
      <w:r>
        <w:t xml:space="preserve">Impact: 1 Negligible, 2 Minor, 3 Moderate, 4 Major, 5 Severe.</w:t>
      </w:r>
    </w:p>
    <w:p>
      <w:r>
        <w:t xml:space="preserve">Rating bands: 1-5 Low, 6-12 Medium, 13-19 High, 20-25 Critical.</w:t>
      </w:r>
    </w:p>
    <w:p>
      <w:pPr>
        <w:pStyle w:val="Heading1"/>
      </w:pPr>
      <w:r>
        <w:t xml:space="preserve">RESPONSE STRATEGIES</w:t>
      </w:r>
    </w:p>
    <w:p>
      <w:r>
        <w:t xml:space="preserve">Avoid, Mitigate, Transfer, Accept. Every High or Critical risk must have an owner, a mitigation plan, and a review date.</w:t>
      </w:r>
    </w:p>
    <w:p>
      <w:pPr>
        <w:pStyle w:val="Heading1"/>
      </w:pPr>
      <w:r>
        <w:t xml:space="preserve">ESCALATION RULES</w:t>
      </w:r>
    </w:p>
    <w:p>
      <w:pPr>
        <w:pStyle w:val="ListParagraph"/>
        <w:numPr>
          <w:ilvl w:val="0"/>
          <w:numId w:val="2"/>
        </w:numPr>
      </w:pPr>
      <w:r>
        <w:t xml:space="preserve">Medium: reviewed by Project Manager weekly.</w:t>
      </w:r>
    </w:p>
    <w:p>
      <w:pPr>
        <w:pStyle w:val="ListParagraph"/>
        <w:numPr>
          <w:ilvl w:val="0"/>
          <w:numId w:val="2"/>
        </w:numPr>
      </w:pPr>
      <w:r>
        <w:t xml:space="preserve">High: escalated to PMO within 2 business days.</w:t>
      </w:r>
    </w:p>
    <w:p>
      <w:pPr>
        <w:pStyle w:val="ListParagraph"/>
        <w:numPr>
          <w:ilvl w:val="0"/>
          <w:numId w:val="2"/>
        </w:numPr>
      </w:pPr>
      <w:r>
        <w:t xml:space="preserve">Critical: escalated to Executive Sponsor within 24 hours.</w:t>
      </w:r>
    </w:p>
    <w:p>
      <w:pPr>
        <w:pStyle w:val="Heading1"/>
      </w:pPr>
      <w:r>
        <w:t xml:space="preserve">MONITORING</w:t>
      </w:r>
    </w:p>
    <w:p>
      <w:r>
        <w:t xml:space="preserve">Risk register reviewed weekly. Closed risks are recorded with outcome notes for lessons learned.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2026-10-13T15:04:01.164Z</dcterms:created>
  <dcterms:modified xsi:type="dcterms:W3CDTF">2026-10-13T15:04:01.164Z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