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A1A2E"/>
          <w:sz w:val="40"/>
          <w:szCs w:val="40"/>
        </w:rPr>
        <w:t xml:space="preserve">ТЕХНИЧЕСКОЕ ЗАДАНИЕ</w:t>
      </w:r>
    </w:p>
    <w:p>
      <w:pPr>
        <w:spacing w:after="100"/>
        <w:jc w:val="center"/>
      </w:pPr>
      <w:r>
        <w:rPr>
          <w:color w:val="E8672A"/>
          <w:sz w:val="26"/>
          <w:szCs w:val="26"/>
        </w:rPr>
        <w:t xml:space="preserve">на разработку AI-системы управления детским садом</w:t>
      </w:r>
    </w:p>
    <w:p>
      <w:pPr>
        <w:spacing w:after="400"/>
        <w:jc w:val="center"/>
      </w:pPr>
      <w:r>
        <w:rPr>
          <w:b/>
          <w:bCs/>
          <w:color w:val="1A1A2E"/>
          <w:sz w:val="26"/>
          <w:szCs w:val="26"/>
        </w:rPr>
        <w:t xml:space="preserve">«Асыл-Аманат» — учебно-воспитательный комплекс</w:t>
      </w:r>
    </w:p>
    <w:p>
      <w:pPr>
        <w:spacing w:after="60"/>
        <w:jc w:val="center"/>
      </w:pPr>
      <w:r>
        <w:rPr>
          <w:sz w:val="20"/>
          <w:szCs w:val="20"/>
        </w:rPr>
        <w:t xml:space="preserve">Заказчик и исполнитель: Учебно-воспитательный комплекс «Асыл-Аманат» (ОсОО) — разработка собственными силами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г. Бишкек, Первомайский район, с. Маевка, ул. Тендик-3, дом №1</w:t>
      </w:r>
    </w:p>
    <w:p>
      <w:pPr>
        <w:spacing w:after="60"/>
        <w:jc w:val="center"/>
      </w:pPr>
      <w:r>
        <w:rPr>
          <w:sz w:val="20"/>
          <w:szCs w:val="20"/>
        </w:rPr>
        <w:t xml:space="preserve">Тип продукта: внутренняя система для одного учреждения (без мультитенантности)</w:t>
      </w:r>
    </w:p>
    <w:p>
      <w:pPr>
        <w:spacing w:after="400"/>
        <w:jc w:val="center"/>
      </w:pPr>
      <w:r>
        <w:rPr>
          <w:color w:val="666666"/>
          <w:sz w:val="18"/>
          <w:szCs w:val="18"/>
        </w:rPr>
        <w:t xml:space="preserve">Версия документа: 2.0 (заменяет v1.0)   |   Дата: 09.09.2026</w:t>
      </w:r>
    </w:p>
    <w:p>
      <w:pPr>
        <w:spacing w:after="0" w:before="600"/>
        <w:jc w:val="center"/>
      </w:pPr>
      <w:r>
        <w:rPr>
          <w:i/>
          <w:iCs/>
          <w:color w:val="666666"/>
          <w:sz w:val="16"/>
          <w:szCs w:val="16"/>
        </w:rPr>
        <w:t xml:space="preserve">Источники объёма: (1) ТЗ v1.0 от 09.09.2026 (6 модулей, по лендингу kms-system.com);
(2) коммерческое предложение ОсОО «Кел-Кел Глобал» — 14 модулей (AI, 1С, QR/распознавание лиц, мобильные приложения)</w:t>
      </w:r>
    </w:p>
    <w:p>
      <w:r>
        <w:br w:type="page"/>
      </w:r>
    </w:p>
    <w:p>
      <w:pPr>
        <w:pStyle w:val="Heading1"/>
        <w:spacing w:after="160" w:before="380"/>
      </w:pPr>
      <w:r>
        <w:rPr>
          <w:b/>
          <w:bCs/>
          <w:color w:val="1A1A2E"/>
          <w:sz w:val="28"/>
          <w:szCs w:val="28"/>
        </w:rPr>
        <w:t xml:space="preserve">1. Общие сведения</w:t>
      </w:r>
    </w:p>
    <w:p>
      <w:pPr>
        <w:pStyle w:val="Heading2"/>
        <w:spacing w:after="120" w:before="260"/>
      </w:pPr>
      <w:r>
        <w:rPr>
          <w:b/>
          <w:bCs/>
          <w:color w:val="E8672A"/>
          <w:sz w:val="24"/>
          <w:szCs w:val="24"/>
        </w:rPr>
        <w:t xml:space="preserve">1.1. Назначение документа и статус версии</w:t>
      </w:r>
    </w:p>
    <w:p>
      <w:pPr>
        <w:spacing w:after="120"/>
      </w:pPr>
      <w:r>
        <w:rPr>
          <w:sz w:val="21"/>
          <w:szCs w:val="21"/>
        </w:rPr>
        <w:t xml:space="preserve">Документ версии 2.0 заменяет ТЗ v1.0 от 09.09.2026. Объём функционала расширен до максимального — включены все 14 модулей из коммерческого предложения ОсОО «Кел-Кел Глобал», плюс модуль питания/аллергий из v1.0 (в КП отсутствует).</w:t>
      </w:r>
    </w:p>
    <w:p>
      <w:pPr>
        <w:pStyle w:val="Heading2"/>
        <w:spacing w:after="120" w:before="260"/>
      </w:pPr>
      <w:r>
        <w:rPr>
          <w:b/>
          <w:bCs/>
          <w:color w:val="E8672A"/>
          <w:sz w:val="24"/>
          <w:szCs w:val="24"/>
        </w:rPr>
        <w:t xml:space="preserve">1.2. Цель проекта</w:t>
      </w:r>
    </w:p>
    <w:p>
      <w:pPr>
        <w:spacing w:after="120"/>
      </w:pPr>
      <w:r>
        <w:rPr>
          <w:sz w:val="21"/>
          <w:szCs w:val="21"/>
        </w:rPr>
        <w:t xml:space="preserve">Разработать единую AI-систему управления детским садом «Асыл-Аманат», автоматизирующую административные, финансовые и операционные процессы: учёт воспитанников и родителей, финансы и интеграцию с 1С, посещаемость через QR/распознавание лиц, личный кабинет и мобильное приложение родителя, авто-уведомления, дашборд руководителя с AI-аналитикой, учёт питания и медицины.</w:t>
      </w:r>
    </w:p>
    <w:p>
      <w:pPr>
        <w:pStyle w:val="Heading2"/>
        <w:spacing w:after="120" w:before="260"/>
      </w:pPr>
      <w:r>
        <w:rPr>
          <w:b/>
          <w:bCs/>
          <w:color w:val="E8672A"/>
          <w:sz w:val="24"/>
          <w:szCs w:val="24"/>
        </w:rPr>
        <w:t xml:space="preserve">1.3. Модель реализации</w:t>
      </w:r>
    </w:p>
    <w:p>
      <w:pPr>
        <w:spacing w:after="120"/>
      </w:pPr>
      <w:r>
        <w:rPr>
          <w:sz w:val="21"/>
          <w:szCs w:val="21"/>
        </w:rPr>
        <w:t xml:space="preserve">Разработка ведётся собственными силами «Асыл-Аманат», без внешнего подрядчика. КП «Кел-Кел Глобал» использовано только как источник полного перечня функционала (объём совпадает с их ТЗ на 14 модулей) — их сроки, бюджет ($12 500 / 5 месяцев) и условия оплаты в данный документ не переносятся, так как не относятся к внутренней разработке.</w:t>
      </w:r>
    </w:p>
    <w:p>
      <w:pPr>
        <w:pBdr>
          <w:left w:val="single" w:color="B23A2E" w:sz="18" w:space="8"/>
        </w:pBdr>
        <w:spacing w:after="140"/>
        <w:ind w:left="200"/>
      </w:pPr>
      <w:r>
        <w:rPr>
          <w:i/>
          <w:iCs/>
          <w:color w:val="B23A2E"/>
          <w:sz w:val="20"/>
          <w:szCs w:val="20"/>
        </w:rPr>
        <w:t xml:space="preserve">Важно: полный объём (14+1 модулей, включая AI, 1С, биометрию, два нативных мобильных приложения) — это объём, который у подрядчика с командой оценивался в 5 месяцев и $12 500. Для внутренней разработки собственными силами это кратно больший срок и потребует профильных компетенций (Flutter/React/NestJS/Java, интеграции с 1С, работа с OpenAI API, биометрией). Это не блокирует проект, но должно быть учтено в планировании ресурсов — см. раздел 9.</w:t>
      </w:r>
    </w:p>
    <w:p>
      <w:pPr>
        <w:pStyle w:val="Heading1"/>
        <w:spacing w:after="160" w:before="380"/>
      </w:pPr>
      <w:r>
        <w:rPr>
          <w:b/>
          <w:bCs/>
          <w:color w:val="1A1A2E"/>
          <w:sz w:val="28"/>
          <w:szCs w:val="28"/>
        </w:rPr>
        <w:t xml:space="preserve">2. Роли и права доступа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00"/>
      </w:tblGrid>
      <w:tr>
        <w:tc>
          <w:tcPr>
            <w:tcW w:type="dxa" w:w="20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6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40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Основные задачи в системе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Директор / руководитель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Полный доступ: все разделы, dashboard, AI-аналитика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Финансы, отчёты, расходы, стратегические решения, утверждение операций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 / управляющий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Все операционные разделы, кроме верхнеуровневых настроек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Дети, родители, оплаты, посещаемость, персонал, документы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Бухгалтер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Финансовый модуль, 1С-интеграция, отчёты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Приходные документы, сверка с 1С, задолженность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Воспитатель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Своя группа: посещаемость, меню (просмотр), заметки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Отметка посещаемости, ведение журнала группы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Медицинский работник (если вводится)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Медицинские карты, прививки, аллергии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Ведение мед. карт, контроль допуска детей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Родитель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Личный кабинет / моб. приложение — только карточка своего ребёнка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Оплата, посещаемость, чеки, меню, уведомления, AI-помощник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Все действия пользователей фиксируются в журнале действий (аудит-лог) — см. модуль 14.</w:t>
      </w:r>
    </w:p>
    <w:p>
      <w:pPr>
        <w:pStyle w:val="Heading1"/>
        <w:spacing w:after="160" w:before="380"/>
      </w:pPr>
      <w:r>
        <w:rPr>
          <w:b/>
          <w:bCs/>
          <w:color w:val="1A1A2E"/>
          <w:sz w:val="28"/>
          <w:szCs w:val="28"/>
        </w:rPr>
        <w:t xml:space="preserve">3. Функциональные требования по модулям</w:t>
      </w:r>
    </w:p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Нумерация модулей 1–14 сохранена как в КП «Кел-Кел Глобал» для прямой сверки объёма. Модуль 15 добавлен из ТЗ v1.0.</w:t>
      </w:r>
    </w:p>
    <w:p>
      <w:pPr>
        <w:pStyle w:val="Heading2"/>
        <w:spacing w:after="120" w:before="260"/>
      </w:pPr>
      <w:r>
        <w:rPr>
          <w:b/>
          <w:bCs/>
          <w:color w:val="E8672A"/>
          <w:sz w:val="24"/>
          <w:szCs w:val="24"/>
        </w:rPr>
        <w:t xml:space="preserve">Модуль 1. Управление воспитанниками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Электронная карточка ребёнка: ФИО, дата рождения, группа, фото, дата зачисления, статус (активен/выбыл/академ. отпуск).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Договор с садом: хранение, привязка к ребёнку, статус (действующий/завершён).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Хранение документов (свидетельство о рождении, мед. допуск и т.п.).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Управление группами: создание, вместимость, закрепление воспитателя, перевод детей между группами с историей.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Поиск и фильтрация по группе, статусу, возрасту.</w:t>
      </w:r>
    </w:p>
    <w:p>
      <w:pPr>
        <w:pStyle w:val="Heading2"/>
        <w:spacing w:after="120" w:before="260"/>
      </w:pPr>
      <w:r>
        <w:rPr>
          <w:b/>
          <w:bCs/>
          <w:color w:val="E8672A"/>
          <w:sz w:val="24"/>
          <w:szCs w:val="24"/>
        </w:rPr>
        <w:t xml:space="preserve">Модуль 2. Управление родителями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Карточка представителя (родителя/опекуна): ФИО, контакты, степень родства.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Привязка нескольких представителей к одному ребёнку (мать/отец/опекун) с раздельным доступом.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История взаимодействия: обращения, уведомления, платежи.</w:t>
      </w:r>
    </w:p>
    <w:p>
      <w:pPr>
        <w:pStyle w:val="Heading2"/>
        <w:spacing w:after="120" w:before="260"/>
      </w:pPr>
      <w:r>
        <w:rPr>
          <w:b/>
          <w:bCs/>
          <w:color w:val="E8672A"/>
          <w:sz w:val="24"/>
          <w:szCs w:val="24"/>
        </w:rPr>
        <w:t xml:space="preserve">Модуль 3. Финансовый модуль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Начисления: тариф по группе/ребёнку, разовые и ежемесячные начисления, скидки.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Приём оплат: банковский QR-код, наличные, банковский перевод.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Автоматический расчёт задолженности на текущую дату, список должников.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Формирование приходных документов и чеков по каждой оплате.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История платежей по каждому ребёнку/родителю.</w:t>
      </w:r>
    </w:p>
    <w:p>
      <w:pPr>
        <w:pBdr>
          <w:left w:val="single" w:color="B23A2E" w:sz="18" w:space="8"/>
        </w:pBdr>
        <w:spacing w:after="140"/>
        <w:ind w:left="200"/>
      </w:pPr>
      <w:r>
        <w:rPr>
          <w:i/>
          <w:iCs/>
          <w:color w:val="B23A2E"/>
          <w:sz w:val="20"/>
          <w:szCs w:val="20"/>
        </w:rPr>
        <w:t xml:space="preserve">Открытый вопрос: логика тарификации — фиксированная сумма или расчёт от фактической посещаемости (модуль 5). См. раздел 8.</w:t>
      </w:r>
    </w:p>
    <w:p>
      <w:pPr>
        <w:pStyle w:val="Heading2"/>
        <w:spacing w:after="120" w:before="260"/>
      </w:pPr>
      <w:r>
        <w:rPr>
          <w:b/>
          <w:bCs/>
          <w:color w:val="E8672A"/>
          <w:sz w:val="24"/>
          <w:szCs w:val="24"/>
        </w:rPr>
        <w:t xml:space="preserve">Модуль 4. Интеграция с 1С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Двусторонняя синхронизация: оплаты, договоры, контрагенты, финансовые документы.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Исключение двойного ввода данных между системой и бухгалтерией.</w:t>
      </w:r>
    </w:p>
    <w:p>
      <w:pPr>
        <w:pBdr>
          <w:left w:val="single" w:color="B23A2E" w:sz="18" w:space="8"/>
        </w:pBdr>
        <w:spacing w:after="140"/>
        <w:ind w:left="200"/>
      </w:pPr>
      <w:r>
        <w:rPr>
          <w:i/>
          <w:iCs/>
          <w:color w:val="B23A2E"/>
          <w:sz w:val="20"/>
          <w:szCs w:val="20"/>
        </w:rPr>
        <w:t xml:space="preserve">Открытый вопрос: версия и конфигурация 1С, используемая садом (1С:Бухгалтерия / 1С:Управление и т.п.) — от этого зависит протокол интеграции (API/обмен файлами). Уточнить до начала разработки.</w:t>
      </w:r>
    </w:p>
    <w:p>
      <w:pPr>
        <w:pStyle w:val="Heading2"/>
        <w:spacing w:after="120" w:before="260"/>
      </w:pPr>
      <w:r>
        <w:rPr>
          <w:b/>
          <w:bCs/>
          <w:color w:val="E8672A"/>
          <w:sz w:val="24"/>
          <w:szCs w:val="24"/>
        </w:rPr>
        <w:t xml:space="preserve">Модуль 5. Управление посещаемостью (QR / распознавание лиц)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Уникальный QR/штрих-код на каждого ребёнка.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Сканирование кода камерой смартфона воспитателем или родителем при приходе/уходе.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Альтернатива — распознавание лица по камере, без карт и сканирования.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Фиксация точного времени прихода/ухода, автоматическое уведомление родителю.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Данные посещаемости используются в отчётах и, при необходимости, в финансовых расчётах.</w:t>
      </w:r>
    </w:p>
    <w:p>
      <w:pPr>
        <w:pBdr>
          <w:left w:val="single" w:color="B23A2E" w:sz="18" w:space="8"/>
        </w:pBdr>
        <w:spacing w:after="140"/>
        <w:ind w:left="200"/>
      </w:pPr>
      <w:r>
        <w:rPr>
          <w:i/>
          <w:iCs/>
          <w:color w:val="B23A2E"/>
          <w:sz w:val="20"/>
          <w:szCs w:val="20"/>
        </w:rPr>
        <w:t xml:space="preserve">ЮРИДИЧЕСКИЙ РИСК: распознавание лиц — это обработка биометрических персональных данных ребёнка. По законодательству КР о персональных данных для этого требуется отдельное письменное согласие родителя/опекуна, регистрация системы как оператора биометрических данных и особый режим хранения (шифрование, ограниченный доступ, срок хранения). Это не техническая деталь — реализацию модуля нельзя начинать без юридического заключения и формы согласия. Рекомендация: на старте запустить QR-вариант как основной, распознавание лиц — опциональной второй фазой после юридической проверки.</w:t>
      </w:r>
    </w:p>
    <w:p>
      <w:pPr>
        <w:pStyle w:val="Heading2"/>
        <w:spacing w:after="120" w:before="260"/>
      </w:pPr>
      <w:r>
        <w:rPr>
          <w:b/>
          <w:bCs/>
          <w:color w:val="E8672A"/>
          <w:sz w:val="24"/>
          <w:szCs w:val="24"/>
        </w:rPr>
        <w:t xml:space="preserve">Модуль 6. Личный кабинет родителя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Веб-версия личного кабинета: посещаемость, оплаты, чеки, задолженность, меню, новости.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Доступ ограничен только карточкой своего ребёнка.</w:t>
      </w:r>
    </w:p>
    <w:p>
      <w:pPr>
        <w:pStyle w:val="Heading2"/>
        <w:spacing w:after="120" w:before="260"/>
      </w:pPr>
      <w:r>
        <w:rPr>
          <w:b/>
          <w:bCs/>
          <w:color w:val="E8672A"/>
          <w:sz w:val="24"/>
          <w:szCs w:val="24"/>
        </w:rPr>
        <w:t xml:space="preserve">Модуль 7. AI-помощник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Чат-помощник для родителей: ответы на вопросы об оплате, документах, расписании — на базе OpenAI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Работает 24/7, снижает нагрузку на администратора.</w:t>
      </w:r>
    </w:p>
    <w:p>
      <w:pPr>
        <w:pBdr>
          <w:left w:val="single" w:color="B23A2E" w:sz="18" w:space="8"/>
        </w:pBdr>
        <w:spacing w:after="140"/>
        <w:ind w:left="200"/>
      </w:pPr>
      <w:r>
        <w:rPr>
          <w:i/>
          <w:iCs/>
          <w:color w:val="B23A2E"/>
          <w:sz w:val="20"/>
          <w:szCs w:val="20"/>
        </w:rPr>
        <w:t xml:space="preserve">РИСК ПРИВАТНОСТИ: чтобы отвечать на вопросы про оплату и ребёнка, AI-помощник должен иметь доступ к персональным данным (ФИО ребёнка, суммы, даты). При использовании внешнего OpenAI API эти данные уходят за пределы системы третьей стороне. Для детского учреждения это требует: (а) явного согласия родителей на обработку данных через AI, (б) проверки, что API-провайдер не сохраняет и не использует данные для обучения моделей (соответствующая настройка/тариф), (в) по возможности — обезличивания данных в запросах к AI (не передавать ФИО и точные суммы напрямую, использовать внутренние идентификаторы). Решить до реализации модуля.</w:t>
      </w:r>
    </w:p>
    <w:p>
      <w:pPr>
        <w:pStyle w:val="Heading2"/>
        <w:spacing w:after="120" w:before="260"/>
      </w:pPr>
      <w:r>
        <w:rPr>
          <w:b/>
          <w:bCs/>
          <w:color w:val="E8672A"/>
          <w:sz w:val="24"/>
          <w:szCs w:val="24"/>
        </w:rPr>
        <w:t xml:space="preserve">Модуль 8. Dashboard руководителя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Онлайн-сводка: поступления, задолженность, посещаемость, свободные места.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Доходы / расходы / прибыль в реальном времени.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Визуализация в виде графиков и ключевых показателей.</w:t>
      </w:r>
    </w:p>
    <w:p>
      <w:pPr>
        <w:pStyle w:val="Heading2"/>
        <w:spacing w:after="120" w:before="260"/>
      </w:pPr>
      <w:r>
        <w:rPr>
          <w:b/>
          <w:bCs/>
          <w:color w:val="E8672A"/>
          <w:sz w:val="24"/>
          <w:szCs w:val="24"/>
        </w:rPr>
        <w:t xml:space="preserve">Модуль 9. Авто-уведомления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Каналы: Telegram, Email, Push (в приложении), WhatsApp.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Сценарии: ребёнок пришёл/ушёл (модуль 5), начисление/оплата (модуль 3), новости сада.</w:t>
      </w:r>
    </w:p>
    <w:p>
      <w:pPr>
        <w:pBdr>
          <w:left w:val="single" w:color="B23A2E" w:sz="18" w:space="8"/>
        </w:pBdr>
        <w:spacing w:after="140"/>
        <w:ind w:left="200"/>
      </w:pPr>
      <w:r>
        <w:rPr>
          <w:i/>
          <w:iCs/>
          <w:color w:val="B23A2E"/>
          <w:sz w:val="20"/>
          <w:szCs w:val="20"/>
        </w:rPr>
        <w:t xml:space="preserve">Уточнение по каналу WhatsApp: в КП предложена реализация через «WhatsApp Web» как бесплатная альтернатива WhatsApp Business API. Это нарушает условия использования WhatsApp (автоматизация через веб-клиент запрещена официальными правилами Meta) и создаёт риск блокировки номера без предупреждения. Для системы, завязанной на уведомления о ребёнке, такой риск неприемлем. Рекомендация: закладывать официальный WhatsApp Business API (платный, но стабильный) либо ограничиться Telegram + Email + Push на первом этапе.</w:t>
      </w:r>
    </w:p>
    <w:p>
      <w:pPr>
        <w:pStyle w:val="Heading2"/>
        <w:spacing w:after="120" w:before="260"/>
      </w:pPr>
      <w:r>
        <w:rPr>
          <w:b/>
          <w:bCs/>
          <w:color w:val="E8672A"/>
          <w:sz w:val="24"/>
          <w:szCs w:val="24"/>
        </w:rPr>
        <w:t xml:space="preserve">Модуль 10. Автоматические отчёты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Формирование отчётов день/неделя/месяц: посещаемость, финансы, задолженность.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Выгрузка в PDF/Excel для руководителя и бухгалтера.</w:t>
      </w:r>
    </w:p>
    <w:p>
      <w:pPr>
        <w:pStyle w:val="Heading2"/>
        <w:spacing w:after="120" w:before="260"/>
      </w:pPr>
      <w:r>
        <w:rPr>
          <w:b/>
          <w:bCs/>
          <w:color w:val="E8672A"/>
          <w:sz w:val="24"/>
          <w:szCs w:val="24"/>
        </w:rPr>
        <w:t xml:space="preserve">Модуль 11. Управление расходами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План/факт расходов сада по статьям (зарплата, питание, коммунальные и т.п.).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Сравнение план/факт, отклонения.</w:t>
      </w:r>
    </w:p>
    <w:p>
      <w:pPr>
        <w:pStyle w:val="Heading2"/>
        <w:spacing w:after="120" w:before="260"/>
      </w:pPr>
      <w:r>
        <w:rPr>
          <w:b/>
          <w:bCs/>
          <w:color w:val="E8672A"/>
          <w:sz w:val="24"/>
          <w:szCs w:val="24"/>
        </w:rPr>
        <w:t xml:space="preserve">Модуль 12. AI-аналитика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Прогноз поступлений на основе истории оплат.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Анализ просрочек и должников, выявление паттернов.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Рекомендации руководителю на основе данных (на базе OpenAI API).</w:t>
      </w:r>
    </w:p>
    <w:p>
      <w:pPr>
        <w:pBdr>
          <w:left w:val="single" w:color="B23A2E" w:sz="18" w:space="8"/>
        </w:pBdr>
        <w:spacing w:after="140"/>
        <w:ind w:left="200"/>
      </w:pPr>
      <w:r>
        <w:rPr>
          <w:i/>
          <w:iCs/>
          <w:color w:val="B23A2E"/>
          <w:sz w:val="20"/>
          <w:szCs w:val="20"/>
        </w:rPr>
        <w:t xml:space="preserve">Тот же риск приватности, что и в модуле 7 (AI-помощник) — данные, уходящие во внешний API, должны быть обезличены либо провайдер должен соответствовать требованиям по защите персональных/финансовых данных.</w:t>
      </w:r>
    </w:p>
    <w:p>
      <w:pPr>
        <w:pStyle w:val="Heading2"/>
        <w:spacing w:after="120" w:before="260"/>
      </w:pPr>
      <w:r>
        <w:rPr>
          <w:b/>
          <w:bCs/>
          <w:color w:val="E8672A"/>
          <w:sz w:val="24"/>
          <w:szCs w:val="24"/>
        </w:rPr>
        <w:t xml:space="preserve">Модуль 13. Мобильное приложение (iOS + Android)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Единый код на Flutter — приложения для родителя и для сотрудника (воспитателя).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Функционал родителя: личный кабинет, оплата, посещаемость, push-уведомления.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Функционал сотрудника: отметка посещаемости (сканирование QR/распознавание лица), журнал группы.</w:t>
      </w:r>
    </w:p>
    <w:p>
      <w:pPr>
        <w:pBdr>
          <w:left w:val="single" w:color="B23A2E" w:sz="18" w:space="8"/>
        </w:pBdr>
        <w:spacing w:after="140"/>
        <w:ind w:left="200"/>
      </w:pPr>
      <w:r>
        <w:rPr>
          <w:i/>
          <w:iCs/>
          <w:color w:val="B23A2E"/>
          <w:sz w:val="20"/>
          <w:szCs w:val="20"/>
        </w:rPr>
        <w:t xml:space="preserve">Публикация в App Store и Google Play требует аккаунтов разработчика (Apple Developer Program — ежегодная платная подписка, Google Play — разовый взнос) и прохождения модерации — заложить в план как отдельную организационную задачу, не только техническую.</w:t>
      </w:r>
    </w:p>
    <w:p>
      <w:pPr>
        <w:pStyle w:val="Heading2"/>
        <w:spacing w:after="120" w:before="260"/>
      </w:pPr>
      <w:r>
        <w:rPr>
          <w:b/>
          <w:bCs/>
          <w:color w:val="E8672A"/>
          <w:sz w:val="24"/>
          <w:szCs w:val="24"/>
        </w:rPr>
        <w:t xml:space="preserve">Модуль 14. Безопасность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Роли пользователей и разграничение доступа (раздел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Журнал действий (аудит-лог): кто, когда, какое действие совершил в системе.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Резервное копирование базы данных на регулярной основе.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Шифрование чувствительных данных (медицинские карты, биометрия, финансы).</w:t>
      </w:r>
    </w:p>
    <w:p>
      <w:pPr>
        <w:pStyle w:val="Heading2"/>
        <w:spacing w:after="120" w:before="260"/>
      </w:pPr>
      <w:r>
        <w:rPr>
          <w:b/>
          <w:bCs/>
          <w:color w:val="E8672A"/>
          <w:sz w:val="24"/>
          <w:szCs w:val="24"/>
        </w:rPr>
        <w:t xml:space="preserve">Модуль 15. Питание и меню + учёт аллергий</w:t>
      </w:r>
    </w:p>
    <w:p>
      <w:pPr>
        <w:spacing w:after="120"/>
      </w:pPr>
      <w:r>
        <w:rPr>
          <w:b/>
          <w:bCs/>
          <w:color w:val="B23A2E"/>
          <w:sz w:val="20"/>
          <w:szCs w:val="20"/>
        </w:rPr>
        <w:t xml:space="preserve">Добавлено из ТЗ v1.0 — отсутствует в перечне КП.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Планирование меню на неделю/период (завтрак, обед, полдник).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Отображение меню родителям в личном кабинете/приложении (просмотр).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Учёт аллергий и пищевых ограничений в карточке ребёнка, видимых воспитателю и на кухне.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Предупреждение при совпадении блюда меню с аллергеном ребёнка группы.</w:t>
      </w:r>
    </w:p>
    <w:p>
      <w:pPr>
        <w:pBdr>
          <w:left w:val="single" w:color="B23A2E" w:sz="18" w:space="8"/>
        </w:pBdr>
        <w:spacing w:after="140"/>
        <w:ind w:left="200"/>
      </w:pPr>
      <w:r>
        <w:rPr>
          <w:i/>
          <w:iCs/>
          <w:color w:val="B23A2E"/>
          <w:sz w:val="20"/>
          <w:szCs w:val="20"/>
        </w:rPr>
        <w:t xml:space="preserve">Это единственный модуль в системе, напрямую связанный с физической безопасностью ребёнка (риск аллергической реакции). Рекомендация: не понижать его приоритет при планировании этапов, несмотря на то что он отсутствовал в КП подрядчика.</w:t>
      </w:r>
    </w:p>
    <w:p>
      <w:pPr>
        <w:pStyle w:val="Heading1"/>
        <w:spacing w:after="160" w:before="380"/>
      </w:pPr>
      <w:r>
        <w:rPr>
          <w:b/>
          <w:bCs/>
          <w:color w:val="1A1A2E"/>
          <w:sz w:val="28"/>
          <w:szCs w:val="28"/>
        </w:rPr>
        <w:t xml:space="preserve">4. Нефункциональные требования</w:t>
      </w:r>
    </w:p>
    <w:p>
      <w:pPr>
        <w:pStyle w:val="Heading2"/>
        <w:spacing w:after="120" w:before="260"/>
      </w:pPr>
      <w:r>
        <w:rPr>
          <w:b/>
          <w:bCs/>
          <w:color w:val="E8672A"/>
          <w:sz w:val="24"/>
          <w:szCs w:val="24"/>
        </w:rPr>
        <w:t xml:space="preserve">4.1. Платформа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Веб-панель администратора/руководителя — адаптивная (React или аналог).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Мобильные приложения — нативные iOS + Android (Flutter), для родителя и сотрудника.</w:t>
      </w:r>
    </w:p>
    <w:p>
      <w:pPr>
        <w:pStyle w:val="Heading2"/>
        <w:spacing w:after="120" w:before="260"/>
      </w:pPr>
      <w:r>
        <w:rPr>
          <w:b/>
          <w:bCs/>
          <w:color w:val="E8672A"/>
          <w:sz w:val="24"/>
          <w:szCs w:val="24"/>
        </w:rPr>
        <w:t xml:space="preserve">4.2. Языки интерфейса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Русский — обязателен на старте.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Кыргызский и английский — по приоритету (см. раздел 8).</w:t>
      </w:r>
    </w:p>
    <w:p>
      <w:pPr>
        <w:pStyle w:val="Heading2"/>
        <w:spacing w:after="120" w:before="260"/>
      </w:pPr>
      <w:r>
        <w:rPr>
          <w:b/>
          <w:bCs/>
          <w:color w:val="E8672A"/>
          <w:sz w:val="24"/>
          <w:szCs w:val="24"/>
        </w:rPr>
        <w:t xml:space="preserve">4.3. Безопасность и защита данных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Ролевой доступ и аудит-лог (модуль 14).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Отдельный, повышенный режим защиты для: биометрии (модуль 5), медицинских данных, финансовых данных.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Согласие родителей на обработку персональных и биометрических данных ребёнка — оформляется отдельным документом до включения соответствующих модулей.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Резервное копирование БД, план восстановления после сбоя.</w:t>
      </w:r>
    </w:p>
    <w:p>
      <w:pPr>
        <w:pStyle w:val="Heading2"/>
        <w:spacing w:after="120" w:before="260"/>
      </w:pPr>
      <w:r>
        <w:rPr>
          <w:b/>
          <w:bCs/>
          <w:color w:val="E8672A"/>
          <w:sz w:val="24"/>
          <w:szCs w:val="24"/>
        </w:rPr>
        <w:t xml:space="preserve">4.4. Бренд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Фирменный стиль «Асыл-Аманат»: логотип, оранжевая цветовая схема, шрифт Gotham Pro.</w:t>
      </w:r>
    </w:p>
    <w:p>
      <w:pPr>
        <w:pStyle w:val="Heading1"/>
        <w:spacing w:after="160" w:before="380"/>
      </w:pPr>
      <w:r>
        <w:rPr>
          <w:b/>
          <w:bCs/>
          <w:color w:val="1A1A2E"/>
          <w:sz w:val="28"/>
          <w:szCs w:val="28"/>
        </w:rPr>
        <w:t xml:space="preserve">5. Технический стек</w:t>
      </w:r>
    </w:p>
    <w:p>
      <w:pPr>
        <w:spacing w:after="120"/>
      </w:pPr>
      <w:r>
        <w:rPr>
          <w:sz w:val="21"/>
          <w:szCs w:val="21"/>
        </w:rPr>
        <w:t xml:space="preserve">Ориентир — стек, предложенный в КП «Кел-Кел Глобал» (использован как референс полноты решения, не как обязательство перед подрядчиком):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6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Мобильные приложения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Flutter (единый код для iOS и Android)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Веб-панель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NestJS, Java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PostgreSQL, автоматическое резервное копирование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OpenAI API — с проверкой условий обработки данных (см. риски в модулях 7 и 12)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Интеграции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1С (модуль 4), банковские QR-платежи, Telegram Bot API, Email (SMTP), WhatsApp Business API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Размещение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Облако либо локальный сервер — на выбор</w:t>
            </w:r>
          </w:p>
        </w:tc>
      </w:tr>
    </w:tbl>
    <w:p>
      <w:pPr>
        <w:pBdr>
          <w:left w:val="single" w:color="B23A2E" w:sz="18" w:space="8"/>
        </w:pBdr>
        <w:spacing w:after="140"/>
        <w:ind w:left="200"/>
      </w:pPr>
      <w:r>
        <w:rPr>
          <w:i/>
          <w:iCs/>
          <w:color w:val="B23A2E"/>
          <w:sz w:val="20"/>
          <w:szCs w:val="20"/>
        </w:rPr>
        <w:t xml:space="preserve">Собственной команде для реализации этого стека целиком нужны компетенции минимум в 4 направлениях (Flutter, React/NestJS, Java-backend, интеграции 1С/AI). Если такой команды пока нет — стоит явно решить, нанимаются ли отдельные специалисты по направлениям, до утверждения сроков.</w:t>
      </w:r>
    </w:p>
    <w:p>
      <w:pPr>
        <w:pStyle w:val="Heading1"/>
        <w:spacing w:after="160" w:before="380"/>
      </w:pPr>
      <w:r>
        <w:rPr>
          <w:b/>
          <w:bCs/>
          <w:color w:val="1A1A2E"/>
          <w:sz w:val="28"/>
          <w:szCs w:val="28"/>
        </w:rPr>
        <w:t xml:space="preserve">6. Вне рамок проекта (Out of scope)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Мультитенантность / поддержка нескольких садиков в одной системе.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Турникеты и физическое СКУД-оборудование (посещаемость реализуется через камеру смартфона).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Покупка оборудования (компьютеры, сервер) — не входит в объём разработки, приобретается отдельно.</w:t>
      </w:r>
    </w:p>
    <w:p>
      <w:pPr>
        <w:pStyle w:val="Heading1"/>
        <w:spacing w:after="160" w:before="380"/>
      </w:pPr>
      <w:r>
        <w:rPr>
          <w:b/>
          <w:bCs/>
          <w:color w:val="1A1A2E"/>
          <w:sz w:val="28"/>
          <w:szCs w:val="28"/>
        </w:rPr>
        <w:t xml:space="preserve">7. Юридические и организационные риски (сводно)</w:t>
      </w:r>
    </w:p>
    <w:p>
      <w:pPr>
        <w:spacing w:after="120"/>
      </w:pPr>
      <w:r>
        <w:rPr>
          <w:sz w:val="21"/>
          <w:szCs w:val="21"/>
        </w:rPr>
        <w:t xml:space="preserve">Ниже — все флаги, отмеченные по модулям выше, собраны в одном месте для контроля перед стартом: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00"/>
      </w:tblGrid>
      <w:tr>
        <w:tc>
          <w:tcPr>
            <w:tcW w:type="dxa" w:w="42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54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Требуемое действие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Распознавание лиц (модуль 5) — биометрия ребёнка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Юридическое заключение + форма согласия родителей до реализации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AI-помощник и AI-аналитика (модули 7, 12) — данные во внешнем API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Проверка условий обработки данных провайдером, обезличивание запросов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WhatsApp-уведомления через WhatsApp Web (модуль 9)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Заменить на официальный WhatsApp Business API либо исключить канал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Публикация в App Store / Google Play (модуль 13)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Аккаунты разработчика, прохождение модерации — организационная задача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Хранение медицинских данных (модуль 14/15)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Отдельный уровень доступа, шифрование</w:t>
            </w:r>
          </w:p>
        </w:tc>
      </w:tr>
    </w:tbl>
    <w:p>
      <w:pPr>
        <w:pStyle w:val="Heading1"/>
        <w:spacing w:after="160" w:before="380"/>
      </w:pPr>
      <w:r>
        <w:rPr>
          <w:b/>
          <w:bCs/>
          <w:color w:val="1A1A2E"/>
          <w:sz w:val="28"/>
          <w:szCs w:val="28"/>
        </w:rPr>
        <w:t xml:space="preserve">8. Вопросы, требующие решения до начала разработки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Логика тарификации: фиксированная сумма или расчёт от фактической посещаемости?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Версия и конфигурация 1С для интеграции (модуль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QR-код как основной способ отметки посещаемости на старте, распознавание лиц — второй фазой после юридической проверки? (рекомендация — да, см. модуль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Канал WhatsApp: платный Business API или исключить из первой версии?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Нужны ли кыргызский и английский языки интерфейса на старте?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Кто ведёт медицинские данные — отдельная роль «медработник» или директор/администратор?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Состав команды разработки: кто закрывает Flutter, кто — backend, кто — интеграции? Нанимаются ли специалисты извне при нехватке компетенций?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Банк/провайдер для приёма QR-платежей — уже выбран или требует отдельного решения?</w:t>
      </w:r>
    </w:p>
    <w:p>
      <w:pPr>
        <w:pStyle w:val="Heading1"/>
        <w:spacing w:after="160" w:before="380"/>
      </w:pPr>
      <w:r>
        <w:rPr>
          <w:b/>
          <w:bCs/>
          <w:color w:val="1A1A2E"/>
          <w:sz w:val="28"/>
          <w:szCs w:val="28"/>
        </w:rPr>
        <w:t xml:space="preserve">9. Ориентировочная последовательность реализации</w:t>
      </w:r>
    </w:p>
    <w:p>
      <w:pPr>
        <w:spacing w:after="120"/>
      </w:pPr>
      <w:r>
        <w:rPr>
          <w:sz w:val="21"/>
          <w:szCs w:val="21"/>
        </w:rPr>
        <w:t xml:space="preserve">Логика заимствована из КП (сначала финансовое ядро — оно снимает больше всего ручной работы и окупается первым), адаптирована под собственную разработку без фиксации бюджета и жёстких недель — сроки определяются реальной доступностью команды.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3500"/>
      </w:tblGrid>
      <w:tr>
        <w:tc>
          <w:tcPr>
            <w:tcW w:type="dxa" w:w="9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52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Модули</w:t>
            </w:r>
          </w:p>
        </w:tc>
        <w:tc>
          <w:tcPr>
            <w:tcW w:type="dxa" w:w="35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Проектирование: архитектура, UI/UX-прототипы, схема БД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Фиксирует объём до старта кода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Модули 1, 2, 14 — воспитанники, родители, безопасность/роли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Фундамент данных для всех остальных модулей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Модуль 3 — финансовый модуль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Ключевой ежедневный модуль, снимает больше всего ручного труда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Модуль 4 — интеграция с 1С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Зависит от готового финансового модуля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Модуль 5 (QR-часть) — посещаемость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Распознавание лиц — отдельная подфаза после юр. проверки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Модуль 15 — питание и аллергии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Физическая безопасность детей — не откладывать надолго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Модули 6, 13 — личный кабинет и мобильные приложения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Витрина данных из этапов 1–5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Модули 8, 10, 11 — дашборд, отчёты, расходы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Аналитика для руководителя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Модули 7, 9, 12 — AI-помощник, уведомления, AI-аналитика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Реализуются последними — зависят от готовых данных и решённых рисков (раздел 7)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Тестирование, обучение персонала, запуск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Проверка по критериям приёмки — раздел 10</w:t>
            </w:r>
          </w:p>
        </w:tc>
      </w:tr>
    </w:tbl>
    <w:p>
      <w:pPr>
        <w:pStyle w:val="Heading1"/>
        <w:spacing w:after="160" w:before="380"/>
      </w:pPr>
      <w:r>
        <w:rPr>
          <w:b/>
          <w:bCs/>
          <w:color w:val="1A1A2E"/>
          <w:sz w:val="28"/>
          <w:szCs w:val="28"/>
        </w:rPr>
        <w:t xml:space="preserve">10. Критерии приёмки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Все 15 модулей реализованы согласно перечисленным пунктам и протестированы на реальных данных сада.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Роли и права доступа работают корректно (раздел 2).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Родитель видит только данные своего ребёнка — в веб-кабинете и в мобильном приложении.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Финансовые расчёты и сверка с 1С дают правильный итог на тестовых данных.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Уведомления доставляются по всем подключённым каналам без нарушения условий использования сервисов (см. раздел 7).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Согласия на обработку биометрических и AI-данных получены и хранятся до включения соответствующих модулей в продакшн.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Мобильные приложения опубликованы в App Store и Google Play либо распространяются альтернативным согласованным способом.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Резервное копирование данных настроено и проверено на восстановление.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Стр.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ТЗ v2.0 — система управления детским садом «Асыл-Аманат»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7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2026-09-09T16:04:42.270Z</dcterms:created>
  <dcterms:modified xsi:type="dcterms:W3CDTF">2026-09-09T16:04:42.282Z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