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STANDAR KOMPETENSI JABATAN PIMPINAN TINGGI PRATAMA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095"/>
        <w:tblGridChange w:id="0">
          <w:tblGrid>
            <w:gridCol w:w="2694"/>
            <w:gridCol w:w="283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Kepala Biro Kerja Sama dan Hubungan Masyarakat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Jabatan Pimpinan Tinggi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Kesekretariatan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1"/>
                <w:szCs w:val="21"/>
                <w:highlight w:val="white"/>
                <w:rtl w:val="0"/>
              </w:rPr>
              <w:t xml:space="preserve">1-03-16-01-05-000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7"/>
        <w:gridCol w:w="902"/>
        <w:gridCol w:w="50"/>
        <w:gridCol w:w="879"/>
        <w:gridCol w:w="2331"/>
        <w:gridCol w:w="142"/>
        <w:gridCol w:w="992"/>
        <w:gridCol w:w="1125"/>
        <w:gridCol w:w="1355"/>
        <w:tblGridChange w:id="0">
          <w:tblGrid>
            <w:gridCol w:w="1787"/>
            <w:gridCol w:w="902"/>
            <w:gridCol w:w="50"/>
            <w:gridCol w:w="879"/>
            <w:gridCol w:w="2331"/>
            <w:gridCol w:w="142"/>
            <w:gridCol w:w="992"/>
            <w:gridCol w:w="1125"/>
            <w:gridCol w:w="135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PIMPINAN TINGGI PRATAMA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I.  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kebijakan dan menyelenggarakan koordinasi terhadap seluruh unit kerja atau satuan kerja di bawahnya dalam rangka melaksanakan kebijakan di bidang kerja sama dalam dan luar negeri serta kehumasan.</w:t>
            </w:r>
          </w:p>
          <w:p w:rsidR="00000000" w:rsidDel="00000000" w:rsidP="00000000" w:rsidRDefault="00000000" w:rsidRPr="00000000" w14:paraId="0000002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II. 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menciptakan situasi kerja yang mendorong kepatuhan pada nilai, norma, dan etika organisasi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Menciptakan situasi kerja yang mendorong seluruh pemangku kepentingan mematuhi nilai, norma, dan etika organisasi dalam segala situasi dan kondisi;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Mendukung dan menerapkan prinsip moral dan standar etika yang tinggi, serta berani menanggung konsekuensinya;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Berani melakukan koreksi atau mengambil tindakan atas penyimpangan kode etik/nilai-nilai yang dilakukan oleh orang lain, pada tataran lingkup kerja setingkat instansi meskipun ada resiko.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49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Membangun komitmen tim, sinergi</w:t>
            </w:r>
          </w:p>
          <w:p w:rsidR="00000000" w:rsidDel="00000000" w:rsidP="00000000" w:rsidRDefault="00000000" w:rsidRPr="00000000" w14:paraId="0000005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Membangun sinergi antar unit kerja di lingkup instansi yang dipimpin;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Memfasilitasi kepentingan yang berbeda dari unit kerja lain sehingga tercipta sinergi dalam rangka pencapaian target kerja organisasi;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sistem yang menghargai kerja sama antar unit, memberikan dukungan / semangat  untuk memastikan tercapainya sinergi dalam rangka pencapaian target kerja organisasi.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mengemukakan pemikiran multidimensi secara lisan dan tertulis untuk mendorong kesepakatan dengan tujuan meningkatkan kinerja secara keseluruhan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Mengintegrasikan informasi-informasi penting hasil diskusi dengan pihak lain untuk mendapatkan pemahaman yang sama; Berbagi informasi dengan pemangku kepentingan untuk tujuan meningkatkan kinerja secara keseluruhan;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Menuangkan pemikiran/konsep yang multidimensi dalam bentuk tulisan formal;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Menyampaikan informasi secara persuasif untuk mendorong pemangku kepentingan sepakat pada langkah-langkah bersama dengan tujuan meningkatkan kinerja secara keseluruhan.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Mendorong unit kerja mencapai target yang ditetapkan atau melebihi hasil kerja sebelumnya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Mendorong unit kerja di tingkat instansi untuk mencapai kinerja yang melebihi target yang ditetapkan;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Memantau dan mengevaluasi hasil kerja unitnya agar selaras dengan sasaran strategis instansi;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Mendorong pemanfaatan sumber daya bersama antar unit kerja dalam rangka  meningkatkan efektifitas dan efisiensi pencapaian target organisasi.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5  Pelayanan Publik</w:t>
            </w:r>
          </w:p>
        </w:tc>
        <w:tc>
          <w:tcPr/>
          <w:p w:rsidR="00000000" w:rsidDel="00000000" w:rsidP="00000000" w:rsidRDefault="00000000" w:rsidRPr="00000000" w14:paraId="0000007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memonitor, mengevaluasi, memperhitungkan dan mengantisipasi dampak dari isu-isu jangka panjang, kesempatan, atau kekuatan politik dalam hal pelayanan kebutuhan pemangku kepentingan yang transparan, objektif, dan profesional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dan memberi perhatian kepada isu-isu jangka panjang, kesempatan atau kekuatan politik yang mempengaruhi organisasi dalam hubungannya dengan dunia luar, memperhitungkan dan mengantisipasi dampak terhadap pelaksanaan tugas-tugas pelayanan publik secara objektif, transparan, dan professional dalam lingkup organisasi;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Menjaga agar kebijakan pelayanan publik yang diselenggarakan oleh instansinya telah selaras dengan standar pelayanan yang objektif, netral, tidak memihak, tidak diskriminatif, serta tidak terpengaruh kepentingan pribadi/kelompok/partai politik;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Menerapkan strategi jangka panjang yang berfokus pada pemenuhan kebutuhan pemangku kepentingan dalam menyusun kebijakan dengan mengikuti standar objektif, netral, tidak memihak, tidak diskriminatif, transparan, tidak terpengaruh kepentingan pribadi/kelompok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6  Pengembangan diri dan orang lain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program pengembangan jangka panjang dalam rangka mendorong manajemen pembelajaran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program pengembangan jangka panjang bersama-sama dengan bawahan, termasuk didalamnya penetapan tujuan, bimbingan, penugasan dan pengalaman lainnya, serta mengalokasikan waktu untuk mengikuti pelatihan / pendidikan / pengembangan kompetensi dan karir;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Melaksanakan manajemen pembelajaran termasuk evaluasi dan umpan balik pada tataran organisasi;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orang-orang disekitarnya secara konsisten, melakukan kaderisasi untuk posisi-posisi di unit kerjanya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9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Memimpin perubahan pada unit kerja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Mengarahkan unit kerja untuk lebih siap dalam menghadapi perubahan termasuk memitigasi risiko yang mungkin terjadi;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Memastikan perubahan sudah diterapkan secara aktif di lingkup unit kerjanya secara berkala;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Memimpin dan memastikan penerapan program-program perubahan selaras antar unit kerja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Menyelesaikan masalah yang mengandung risiko tinggi, mengantisipasi dampak keputusan, membuat tindakan pengamanan; mitigasi risiko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dan/atau memutuskan konsep penyelesaian masalah yang melibatkan beberapa/seluruh fungsi dalam organisasi;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Menghasilkan solusi dari berbagai masalah yang kompleks, terkait dengan bidang kerjanya yang berdampak pada pihak lain.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Membuat keputusan dan mengantisipasi dampak keputusannya serta menyiapkan tindakan penanganannya (mitigasi risiko).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Mendayagunakan perbedaan secara konstruktif dan kreatif untuk meningkatkan efektifitas organisasi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Menginisiasi dan merepresentasikan pemerintah di lingkungan kerja dan masyarakat untuk senantiasa menjaga persatuan dan kesatuan dalam keberagaman dan menerima segala bentuk perbedaan dalam kehidupan bermasyarakat;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mendayagunakan perbedaan latar belakang, agama/kepercayaan, suku, jender, sosial ekonomi, preferensi politik untuk mencapai kelancaran pencapaian tujuan organisasi;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membuat program yang mengakomodasi perbedaan latar belakang, agama/kepercayaan, suku, jender, sosial ekonomi, preferensi politik.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Penyelenggaraan Kerja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Memberikan rekomendasi terkait kebijakan kerja sama 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membandingkan efektivitas kerja sama yang dilakukan setelah dan sebelum kerja sama dilakukan dan dapat memberikan rekomendasi terhadap perbaikan bentuk kerja sama kedepan sesuai kebutuhan;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memberikan rekomendasi kebijakan kerja sama dengan memberikan rekomendasi yang tepat dan aplikatif sesuai dengan bentuk dan metode yang akan dikembangkan kedepan terkait konsep kerja sama;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meyakinkan stakeholder terhadap konsep kerja sama yang lebih baik dan berguna.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left="0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 Pengelolaan Kegiatan Kerja Sama</w:t>
            </w:r>
          </w:p>
        </w:tc>
        <w:tc>
          <w:tcPr/>
          <w:p w:rsidR="00000000" w:rsidDel="00000000" w:rsidP="00000000" w:rsidRDefault="00000000" w:rsidRPr="00000000" w14:paraId="000000D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Kemampuan memahami, melaksanakan, menganalisa, mengevaluasi dan merekomendasikan perbaikan dan mengembangkan pola kerjasama.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90"/>
              </w:tabs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Mampu menyimpulkan hasil kerjasama.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90"/>
              </w:tabs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Mampu menilai dan mengusulkan langkah- langkah terbaik untuk mengatasi permasalahan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90"/>
              </w:tabs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Mampu menilai dan mengusulkan langkah- langkah terbaik untuk mengatasi permasalahan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2" w:right="0" w:firstLine="2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Kehumasan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Mengevaluasi penyelenggaraan kegiatan kehumasan kementerian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Mampu menilai pola dan mekanisme penyelenggaraan kehumasan yang 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Mampu menilai efektivitas penyampaian informasi melalui bidang kehumasan.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Mampu menilai strategi penyelenggaraan kehumasan.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0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terhadap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D">
            <w:pPr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Minimum Pendidikan Setara S2/Magister</w:t>
            </w:r>
          </w:p>
          <w:p w:rsidR="00000000" w:rsidDel="00000000" w:rsidP="00000000" w:rsidRDefault="00000000" w:rsidRPr="00000000" w14:paraId="0000010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Ilmu Komunikasi, Hubungan Internasional, Farmasi, Hukum, Ekonomi, dll.</w:t>
            </w:r>
          </w:p>
          <w:p w:rsidR="00000000" w:rsidDel="00000000" w:rsidP="00000000" w:rsidRDefault="00000000" w:rsidRPr="00000000" w14:paraId="0000011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 Pelatihan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Nasional Tingkat III</w:t>
            </w:r>
          </w:p>
          <w:p w:rsidR="00000000" w:rsidDel="00000000" w:rsidP="00000000" w:rsidRDefault="00000000" w:rsidRPr="00000000" w14:paraId="0000012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spacing w:after="0" w:line="240" w:lineRule="auto"/>
              <w:ind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Pelatihan Kepemimpinan Nasional Tingkat II</w:t>
            </w:r>
          </w:p>
          <w:p w:rsidR="00000000" w:rsidDel="00000000" w:rsidP="00000000" w:rsidRDefault="00000000" w:rsidRPr="00000000" w14:paraId="0000012C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sesuai dengan kebutuhan jenjang jabatan</w:t>
            </w:r>
          </w:p>
          <w:p w:rsidR="00000000" w:rsidDel="00000000" w:rsidP="00000000" w:rsidRDefault="00000000" w:rsidRPr="00000000" w14:paraId="00000136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Diklat Public Speaking</w:t>
            </w:r>
          </w:p>
          <w:p w:rsidR="00000000" w:rsidDel="00000000" w:rsidP="00000000" w:rsidRDefault="00000000" w:rsidRPr="00000000" w14:paraId="00000140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Diklat Komunikasi/</w:t>
            </w:r>
          </w:p>
          <w:p w:rsidR="00000000" w:rsidDel="00000000" w:rsidP="00000000" w:rsidRDefault="00000000" w:rsidRPr="00000000" w14:paraId="00000141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Diplomasi/Negosiasi</w:t>
            </w:r>
          </w:p>
          <w:p w:rsidR="00000000" w:rsidDel="00000000" w:rsidP="00000000" w:rsidRDefault="00000000" w:rsidRPr="00000000" w14:paraId="00000142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lainnya sesuai dengan kebutuhan jenjang jabatannya</w:t>
            </w:r>
          </w:p>
          <w:p w:rsidR="00000000" w:rsidDel="00000000" w:rsidP="00000000" w:rsidRDefault="00000000" w:rsidRPr="00000000" w14:paraId="00000143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Diklat Fungsional yang sesuai dengan kebutuhan jenjang jabatannya</w:t>
            </w:r>
          </w:p>
          <w:p w:rsidR="00000000" w:rsidDel="00000000" w:rsidP="00000000" w:rsidRDefault="00000000" w:rsidRPr="00000000" w14:paraId="0000015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 Sertifikasi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sertifikasi yang menunjukkan kemampuan Bahasa Inggris (Toefl minimal 550, IELTS minimal 6 dan sertifikasi bahasa Inggris lainnya dengan konversi yang setara)</w:t>
            </w:r>
          </w:p>
          <w:p w:rsidR="00000000" w:rsidDel="00000000" w:rsidP="00000000" w:rsidRDefault="00000000" w:rsidRPr="00000000" w14:paraId="0000015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tabs>
                <w:tab w:val="left" w:leader="none" w:pos="381"/>
              </w:tabs>
              <w:ind w:left="239" w:hanging="283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●</w:t>
              <w:tab/>
              <w:t xml:space="preserve">Pengalaman Jabatan dalam bidang tugas yang terkait dengan Jabatan yang akan diduduki secara kumulatif paling kurang selama 5 (lima) tahun</w:t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214"/>
              </w:tabs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214"/>
              </w:tabs>
              <w:ind w:left="239" w:hanging="239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●</w:t>
              <w:tab/>
              <w:t xml:space="preserve">sedang atau pernah menduduki Jabatan administrator atau JF jenjang ahli madya paling singkat 2 (dua) tahun</w:t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214"/>
              </w:tabs>
              <w:ind w:left="0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Minimal Pembina tk.1 / IVb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kerja sama yang ditindaklanjuti sesuai ketentuan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peran Badan POM dalam forum Bilateral, Regional dan Multilateral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Indeks kepuasan media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Indeks opini publik BPOM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Indeks kepuasan internal BPOM terhadap layanan dukungan manajemen Biro Kerja Sama dan Humas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dokumen kerja sama yang diselesaikan tepat waktu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 negara yang mendapatkan dukungan penguatan di bidang obat dan makanan dalam skema kerja sama selatan-selatan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kualitas BPOM di media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permohonan wawancara media yang ditindaklanjuti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25" w:right="0" w:hanging="502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publikasi kinerja BPOM sesuai agenda setting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674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1"/>
      <w:numFmt w:val="decimal"/>
      <w:lvlText w:val="4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4.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4.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4.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4.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4.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4.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4.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4.%1.%2.%3.%4.%5.%6.%7.%8.%9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7">
    <w:lvl w:ilvl="0">
      <w:start w:val="1"/>
      <w:numFmt w:val="decimal"/>
      <w:lvlText w:val="4.%1"/>
      <w:lvlJc w:val="left"/>
      <w:pPr>
        <w:ind w:left="450" w:hanging="450"/>
      </w:pPr>
      <w:rPr>
        <w:u w:val="none"/>
      </w:rPr>
    </w:lvl>
    <w:lvl w:ilvl="1">
      <w:start w:val="1"/>
      <w:numFmt w:val="lowerLetter"/>
      <w:lvlText w:val="4..%2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4.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4..%4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4..%5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4.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4..%7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4..%8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4..%9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4.%1"/>
      <w:lvlJc w:val="left"/>
      <w:pPr>
        <w:ind w:left="450" w:hanging="450"/>
      </w:pPr>
      <w:rPr>
        <w:u w:val="none"/>
      </w:rPr>
    </w:lvl>
    <w:lvl w:ilvl="1">
      <w:start w:val="1"/>
      <w:numFmt w:val="lowerLetter"/>
      <w:lvlText w:val="4.%2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4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4.%4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4.%5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4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4.%7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4.%8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4.%9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74" w:hanging="359.9999999999999"/>
      </w:pPr>
      <w:rPr/>
    </w:lvl>
    <w:lvl w:ilvl="1">
      <w:start w:val="1"/>
      <w:numFmt w:val="lowerLetter"/>
      <w:lvlText w:val="%2."/>
      <w:lvlJc w:val="left"/>
      <w:pPr>
        <w:ind w:left="1394" w:hanging="360"/>
      </w:pPr>
      <w:rPr/>
    </w:lvl>
    <w:lvl w:ilvl="2">
      <w:start w:val="1"/>
      <w:numFmt w:val="lowerRoman"/>
      <w:lvlText w:val="%3."/>
      <w:lvlJc w:val="right"/>
      <w:pPr>
        <w:ind w:left="2114" w:hanging="180"/>
      </w:pPr>
      <w:rPr/>
    </w:lvl>
    <w:lvl w:ilvl="3">
      <w:start w:val="1"/>
      <w:numFmt w:val="decimal"/>
      <w:lvlText w:val="%4."/>
      <w:lvlJc w:val="left"/>
      <w:pPr>
        <w:ind w:left="2834" w:hanging="360"/>
      </w:pPr>
      <w:rPr/>
    </w:lvl>
    <w:lvl w:ilvl="4">
      <w:start w:val="1"/>
      <w:numFmt w:val="lowerLetter"/>
      <w:lvlText w:val="%5."/>
      <w:lvlJc w:val="left"/>
      <w:pPr>
        <w:ind w:left="3554" w:hanging="360"/>
      </w:pPr>
      <w:rPr/>
    </w:lvl>
    <w:lvl w:ilvl="5">
      <w:start w:val="1"/>
      <w:numFmt w:val="lowerRoman"/>
      <w:lvlText w:val="%6."/>
      <w:lvlJc w:val="right"/>
      <w:pPr>
        <w:ind w:left="4274" w:hanging="180"/>
      </w:pPr>
      <w:rPr/>
    </w:lvl>
    <w:lvl w:ilvl="6">
      <w:start w:val="1"/>
      <w:numFmt w:val="decimal"/>
      <w:lvlText w:val="%7."/>
      <w:lvlJc w:val="left"/>
      <w:pPr>
        <w:ind w:left="4994" w:hanging="360"/>
      </w:pPr>
      <w:rPr/>
    </w:lvl>
    <w:lvl w:ilvl="7">
      <w:start w:val="1"/>
      <w:numFmt w:val="lowerLetter"/>
      <w:lvlText w:val="%8."/>
      <w:lvlJc w:val="left"/>
      <w:pPr>
        <w:ind w:left="5714" w:hanging="360"/>
      </w:pPr>
      <w:rPr/>
    </w:lvl>
    <w:lvl w:ilvl="8">
      <w:start w:val="1"/>
      <w:numFmt w:val="lowerRoman"/>
      <w:lvlText w:val="%9."/>
      <w:lvlJc w:val="right"/>
      <w:pPr>
        <w:ind w:left="6434" w:hanging="180"/>
      </w:pPr>
      <w:rPr/>
    </w:lvl>
  </w:abstractNum>
  <w:abstractNum w:abstractNumId="10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18" w:hanging="360"/>
      </w:pPr>
      <w:rPr/>
    </w:lvl>
    <w:lvl w:ilvl="2">
      <w:start w:val="1"/>
      <w:numFmt w:val="decimal"/>
      <w:lvlText w:val="%1.%2.%3"/>
      <w:lvlJc w:val="left"/>
      <w:pPr>
        <w:ind w:left="1436" w:hanging="720"/>
      </w:pPr>
      <w:rPr/>
    </w:lvl>
    <w:lvl w:ilvl="3">
      <w:start w:val="1"/>
      <w:numFmt w:val="decimal"/>
      <w:lvlText w:val="%1.%2.%3.%4"/>
      <w:lvlJc w:val="left"/>
      <w:pPr>
        <w:ind w:left="1794" w:hanging="720"/>
      </w:pPr>
      <w:rPr/>
    </w:lvl>
    <w:lvl w:ilvl="4">
      <w:start w:val="1"/>
      <w:numFmt w:val="decimal"/>
      <w:lvlText w:val="%1.%2.%3.%4.%5"/>
      <w:lvlJc w:val="left"/>
      <w:pPr>
        <w:ind w:left="2512" w:hanging="1080"/>
      </w:pPr>
      <w:rPr/>
    </w:lvl>
    <w:lvl w:ilvl="5">
      <w:start w:val="1"/>
      <w:numFmt w:val="decimal"/>
      <w:lvlText w:val="%1.%2.%3.%4.%5.%6"/>
      <w:lvlJc w:val="left"/>
      <w:pPr>
        <w:ind w:left="2870" w:hanging="1080"/>
      </w:pPr>
      <w:rPr/>
    </w:lvl>
    <w:lvl w:ilvl="6">
      <w:start w:val="1"/>
      <w:numFmt w:val="decimal"/>
      <w:lvlText w:val="%1.%2.%3.%4.%5.%6.%7"/>
      <w:lvlJc w:val="left"/>
      <w:pPr>
        <w:ind w:left="3588" w:hanging="1440"/>
      </w:pPr>
      <w:rPr/>
    </w:lvl>
    <w:lvl w:ilvl="7">
      <w:start w:val="1"/>
      <w:numFmt w:val="decimal"/>
      <w:lvlText w:val="%1.%2.%3.%4.%5.%6.%7.%8"/>
      <w:lvlJc w:val="left"/>
      <w:pPr>
        <w:ind w:left="3946" w:hanging="1440"/>
      </w:pPr>
      <w:rPr/>
    </w:lvl>
    <w:lvl w:ilvl="8">
      <w:start w:val="1"/>
      <w:numFmt w:val="decimal"/>
      <w:lvlText w:val="%1.%2.%3.%4.%5.%6.%7.%8.%9"/>
      <w:lvlJc w:val="left"/>
      <w:pPr>
        <w:ind w:left="4664" w:hanging="1800"/>
      </w:pPr>
      <w:rPr/>
    </w:lvl>
  </w:abstractNum>
  <w:abstractNum w:abstractNumId="1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xR3ZvsKyWS//LgPBMGbU4eEuQ==">CgMxLjA4AHIhMUZ4My1DSDkyV1VJZnotUDZOenhNX0FMbzJVQjc5Ti1l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