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H Sarabun New" w:cs="TH Sarabun New" w:eastAsia="TH Sarabun New" w:hAnsi="TH Sarabun New"/>
          <w:b/>
          <w:bCs/>
          <w:sz w:val="44"/>
          <w:szCs w:val="44"/>
        </w:rPr>
        <w:t xml:space="preserve">บทที่ 2</w:t>
      </w:r>
    </w:p>
    <w:p>
      <w:pPr>
        <w:spacing w:after="480"/>
        <w:jc w:val="center"/>
      </w:pPr>
      <w:r>
        <w:rPr>
          <w:rFonts w:ascii="TH Sarabun New" w:cs="TH Sarabun New" w:eastAsia="TH Sarabun New" w:hAnsi="TH Sarabun New"/>
          <w:b/>
          <w:bCs/>
          <w:sz w:val="40"/>
          <w:szCs w:val="40"/>
        </w:rPr>
        <w:t xml:space="preserve">เอกสารและงานวิจัยที่เกี่ยวข้อง</w:t>
      </w:r>
    </w:p>
    <w:p>
      <w:pPr>
        <w:spacing w:after="80" w:before="0" w:line="360"/>
        <w:ind w:firstLine="720"/>
        <w:jc w:val="both"/>
      </w:pPr>
      <w:r>
        <w:rPr>
          <w:rFonts w:ascii="TH Sarabun New" w:cs="TH Sarabun New" w:eastAsia="TH Sarabun New" w:hAnsi="TH Sarabun New"/>
          <w:sz w:val="32"/>
          <w:szCs w:val="32"/>
        </w:rPr>
        <w:t xml:space="preserve">       การพัฒนาชุดบทเรียนเกมดิจิทัล COSMOS LOG เรื่อง ดาราศาสตร์ ตามแนวคิดการเรียนรู้เชิงรุกร่วมกับทฤษฎีการกำหนดตนเอง สำหรับนักเรียนชั้นมัธยมศึกษาปีที่ 5 มีรากฐานมาจากการประสานองค์ความรู้หลายศาสตร์เข้าด้วยกัน ทั้งหลักสูตรและสาระวิชาที่ระบุไว้ในมาตรฐานการเรียนรู้ระดับชาติ กระบวนการวิจัยและพัฒนาที่ใช้เป็นเส้นทางในการสร้างนวัตกรรม แนวคิดทางจิตวิทยาการศึกษาที่อธิบายว่าผู้เรียนเกิดการเรียนรู้และเกิดแรงจูงใจได้อย่างไร และฐานความรู้ทางการออกแบบเกมเพื่อการเรียนรู้ที่มีหลักฐานเชิงประจักษ์รองรับ ผู้วิจัยจึงได้ทบทวนเอกสารและงานวิจัยที่เกี่ยวข้องอย่างเป็นระบบ และจัดเรียงเป็น 11 ส่วน เพื่อเป็นกรอบแนวคิดในการดำเนินการวิจัย โดยพาร์ทแรกของบทนี้ (ส่วนที่ 2.1–2.5) จะกล่าวถึง รากฐานทางหลักสูตรและทฤษฎีการเรียนรู้พื้นฐาน และพาร์ทที่สองจะกล่าวถึง การประยุกต์ทฤษฎีลงในเกมและงานวิจัยที่เกี่ยวข้อง</w:t>
      </w:r>
    </w:p>
    <w:p>
      <w:pPr>
        <w:spacing w:after="80" w:before="0" w:line="360"/>
        <w:ind w:firstLine="720"/>
        <w:jc w:val="both"/>
      </w:pPr>
      <w:r>
        <w:rPr>
          <w:rFonts w:ascii="TH Sarabun New" w:cs="TH Sarabun New" w:eastAsia="TH Sarabun New" w:hAnsi="TH Sarabun New"/>
          <w:sz w:val="32"/>
          <w:szCs w:val="32"/>
        </w:rPr>
        <w:t xml:space="preserve">สำหรับพาร์ทแรกนี้ ผู้วิจัยจัดเรียงเนื้อหาจาก "บริบท" ไปสู่ "ทฤษฎี" กล่าวคือ เริ่มจากบริบทเชิงระบบที่ครอบคลุมที่สุด ได้แก่ หลักสูตรแกนกลางและรายวิชา ว 30105 (ส่วนที่ 2.1) ถัดไปเป็นกระบวนการที่ใช้สร้างนวัตกรรม คือ การวิจัยและพัฒนา (ส่วนที่ 2.2) จากนั้นจึงเข้าสู่หน่วยเล็กที่สุดที่ครูทำงานด้วยทุกวัน คือ แผนการจัดการเรียนรู้ (ส่วนที่ 2.3) และปิดท้ายพาร์ทแรกด้วยฐานทฤษฎีการเรียนรู้ที่นำมาออกแบบบทเรียน ได้แก่ แนวคิดการเรียนรู้เชิงรุก (ส่วนที่ 2.4) และทฤษฎีการกำหนดตนเอง (ส่วนที่ 2.5) ซึ่งทั้งสองทฤษฎีนี้เป็นเสาคู่ที่ค้ำยันการออกแบบ COSMOS LOG ทั้งระบบ</w:t>
      </w:r>
    </w:p>
    <w:p>
      <w:pPr>
        <w:spacing w:after="160" w:before="360"/>
        <w:jc w:val="left"/>
      </w:pPr>
      <w:r>
        <w:rPr>
          <w:rFonts w:ascii="TH Sarabun New" w:cs="TH Sarabun New" w:eastAsia="TH Sarabun New" w:hAnsi="TH Sarabun New"/>
          <w:b/>
          <w:bCs/>
          <w:sz w:val="40"/>
          <w:szCs w:val="40"/>
        </w:rPr>
        <w:t xml:space="preserve">2.1  หลักสูตรและสาระการเรียนรู้รายวิชา ว 30105 วิทยาศาสตร์พื้นฐาน 5 (โลกและอวกาศ)</w:t>
      </w:r>
    </w:p>
    <w:p>
      <w:pPr>
        <w:spacing w:after="80" w:before="0" w:line="360"/>
        <w:ind w:firstLine="720"/>
        <w:jc w:val="both"/>
      </w:pPr>
      <w:r>
        <w:rPr>
          <w:rFonts w:ascii="TH Sarabun New" w:cs="TH Sarabun New" w:eastAsia="TH Sarabun New" w:hAnsi="TH Sarabun New"/>
          <w:sz w:val="32"/>
          <w:szCs w:val="32"/>
        </w:rPr>
        <w:t xml:space="preserve">การออกแบบนวัตกรรมการเรียนรู้ใด ๆ จะมีคุณค่าและสามารถนำไปใช้ได้จริงในห้องเรียน ก็ต่อเมื่อสอดคล้องกับหลักสูตรและบริบทของสถานศึกษา ผู้วิจัยจึงเริ่มต้นการทบทวนวรรณกรรมจาก "ระบบใหญ่" ก่อน คือ หลักสูตรแกนกลางการศึกษาขั้นพื้นฐาน พ.ศ. 2551 (ฉบับปรับปรุง พ.ศ. 2560) แล้วจึงค่อย ๆ ลดระดับลงมาที่หลักสูตรสถานศึกษาของโรงเรียนสตรีวิทยา ตามด้วยการวิเคราะห์โครงสร้างของรายวิชา ว 30105 และจบด้วยการชี้ให้เห็นลักษณะเฉพาะของรายวิชาที่ส่งผลโดยตรงต่อทางเลือกในการจัดการเรียนรู้ของครู เพื่อให้เห็นภาพรวมว่า COSMOS LOG จะเข้าไปยืนอยู่ในจุดใดของระบบนี้</w:t>
      </w:r>
    </w:p>
    <w:p>
      <w:pPr>
        <w:spacing w:after="120" w:before="280"/>
        <w:jc w:val="left"/>
      </w:pPr>
      <w:r>
        <w:rPr>
          <w:rFonts w:ascii="TH Sarabun New" w:cs="TH Sarabun New" w:eastAsia="TH Sarabun New" w:hAnsi="TH Sarabun New"/>
          <w:b/>
          <w:bCs/>
          <w:sz w:val="36"/>
          <w:szCs w:val="36"/>
        </w:rPr>
        <w:t xml:space="preserve">2.1.1 หลักสูตรแกนกลางการศึกษาขั้นพื้นฐาน พุทธศักราช 2551 (ฉบับปรับปรุง พ.ศ. 2560)</w:t>
      </w:r>
    </w:p>
    <w:p>
      <w:pPr>
        <w:spacing w:after="80" w:before="0" w:line="360"/>
        <w:ind w:firstLine="720"/>
        <w:jc w:val="both"/>
      </w:pPr>
      <w:r>
        <w:rPr>
          <w:rFonts w:ascii="TH Sarabun New" w:cs="TH Sarabun New" w:eastAsia="TH Sarabun New" w:hAnsi="TH Sarabun New"/>
          <w:sz w:val="32"/>
          <w:szCs w:val="32"/>
        </w:rPr>
        <w:t xml:space="preserve">หลักสูตรแกนกลางการศึกษาขั้นพื้นฐานเป็นเอกสารกำกับการศึกษาของชาติที่กระทรวงศึกษาธิการกำหนดขึ้น เพื่อให้สถานศึกษาทุกแห่งจัดการเรียนรู้ไปในทิศทางเดียวกัน หลักสูตร พ.ศ. 2551 ถือกำเนิดขึ้นในยุคที่ประเทศไทยตื่นตัวกับ "ทักษะแห่งศตวรรษที่ 21" และต่อมาในปี พ.ศ. 2560 ได้รับการปรับปรุงครั้งสำคัญเพื่อให้สอดคล้องกับการเปลี่ยนแปลงทางเทคโนโลยี เศรษฐกิจดิจิทัล และกรอบยุทธศาสตร์ชาติ 20 ปี (กระทรวงศึกษาธิการ, 2560) การปรับปรุงครั้งนี้สาระการเรียนรู้วิทยาศาสตร์ได้ถูกจัดวางใหม่ให้เน้นการสืบเสาะ การคิดเชิงคำนวณ และการเชื่อมโยงสู่ชีวิตจริงมากขึ้น โดยหลักสูตรประกอบด้วยองค์ประกอบสำคัญ 5 ประการที่ผู้วิจัยจะอธิบายต่อไปนี้</w:t>
      </w:r>
    </w:p>
    <w:p>
      <w:pPr>
        <w:spacing w:after="80" w:before="0" w:line="360"/>
        <w:ind w:firstLine="720"/>
        <w:jc w:val="both"/>
      </w:pPr>
      <w:r>
        <w:rPr>
          <w:rFonts w:ascii="TH Sarabun New" w:cs="TH Sarabun New" w:eastAsia="TH Sarabun New" w:hAnsi="TH Sarabun New"/>
          <w:b/>
          <w:bCs/>
          <w:sz w:val="32"/>
          <w:szCs w:val="32"/>
        </w:rPr>
        <w:t xml:space="preserve">(1) วิสัยทัศน์ของหลักสูตร  </w:t>
      </w:r>
      <w:r>
        <w:rPr>
          <w:rFonts w:ascii="TH Sarabun New" w:cs="TH Sarabun New" w:eastAsia="TH Sarabun New" w:hAnsi="TH Sarabun New"/>
          <w:sz w:val="32"/>
          <w:szCs w:val="32"/>
        </w:rPr>
        <w:t xml:space="preserve">หลักสูตรกำหนดวิสัยทัศน์ไว้ว่า มุ่งพัฒนาผู้เรียนทุกคนซึ่งเป็นกำลังของชาติ ให้เป็นมนุษย์ที่มีความสมดุลทั้งด้านร่างกาย ความรู้ และคุณธรรม มีจิตสำนึกในความเป็นพลเมืองไทยและพลโลก ยึดมั่นในการปกครองตามระบอบประชาธิปไตยอันมีพระมหากษัตริย์ทรงเป็นประมุข มีความรู้และทักษะพื้นฐาน รวมทั้งเจตคติที่จำเป็นต่อการศึกษาต่อ การประกอบอาชีพ และการศึกษาตลอดชีวิต โดยตั้งอยู่บนความเชื่อพื้นฐานว่า ทุกคนสามารถเรียนรู้และพัฒนาตนเองได้เต็มตามศักยภาพ ความเชื่อข้อหลังนี้สำคัญมาก เพราะเป็นแรงผลักดันให้ครูออกแบบกิจกรรมที่ "เปิดประตู" ให้นักเรียนทุกคน ไม่ใช่เฉพาะคนเก่ง ได้เข้าถึงเนื้อหา</w:t>
      </w:r>
    </w:p>
    <w:p>
      <w:pPr>
        <w:spacing w:after="80" w:before="0" w:line="360"/>
        <w:ind w:firstLine="720"/>
        <w:jc w:val="both"/>
      </w:pPr>
      <w:r>
        <w:rPr>
          <w:rFonts w:ascii="TH Sarabun New" w:cs="TH Sarabun New" w:eastAsia="TH Sarabun New" w:hAnsi="TH Sarabun New"/>
          <w:b/>
          <w:bCs/>
          <w:sz w:val="32"/>
          <w:szCs w:val="32"/>
        </w:rPr>
        <w:t xml:space="preserve">(2) หลักการของหลักสูตร  </w:t>
      </w:r>
      <w:r>
        <w:rPr>
          <w:rFonts w:ascii="TH Sarabun New" w:cs="TH Sarabun New" w:eastAsia="TH Sarabun New" w:hAnsi="TH Sarabun New"/>
          <w:sz w:val="32"/>
          <w:szCs w:val="32"/>
        </w:rPr>
        <w:t xml:space="preserve">หลักสูตรยึดหลักการ 6 ข้อสำคัญ ได้แก่ เป็นหลักสูตรเพื่อความเป็นเอกภาพของชาติ มีจุดหมายและมาตรฐานเป็นเป้าหมายร่วม เป็นหลักสูตรเพื่อปวงชนที่ทุกคนได้รับการศึกษาอย่างเสมอภาคและมีคุณภาพ สนองการกระจายอำนาจให้สังคมมีส่วนร่วมในการจัดการศึกษา มีโครงสร้างยืดหยุ่นทั้งสาระการเรียนรู้ เวลาและการจัดการเรียนรู้ เน้นผู้เรียนเป็นสำคัญ และครอบคลุมการศึกษาทั้งในระบบ นอกระบบ และตามอัธยาศัย หลักการเหล่านี้ให้ "พื้นที่ออกแบบ" แก่ครูในการพัฒนานวัตกรรม โดยเฉพาะข้อความเรื่อง "โครงสร้างยืดหยุ่น" และ "เน้นผู้เรียนเป็นสำคัญ" ที่อนุญาตให้ครูผสมผสานสื่อดิจิทัลและรูปแบบกิจกรรมที่ไม่ใช่การบรรยายตามขนบ</w:t>
      </w:r>
    </w:p>
    <w:p>
      <w:pPr>
        <w:spacing w:after="80" w:before="0" w:line="360"/>
        <w:ind w:firstLine="720"/>
        <w:jc w:val="both"/>
      </w:pPr>
      <w:r>
        <w:rPr>
          <w:rFonts w:ascii="TH Sarabun New" w:cs="TH Sarabun New" w:eastAsia="TH Sarabun New" w:hAnsi="TH Sarabun New"/>
          <w:b/>
          <w:bCs/>
          <w:sz w:val="32"/>
          <w:szCs w:val="32"/>
        </w:rPr>
        <w:t xml:space="preserve">(3) จุดมุ่งหมายของหลักสูตร  </w:t>
      </w:r>
      <w:r>
        <w:rPr>
          <w:rFonts w:ascii="TH Sarabun New" w:cs="TH Sarabun New" w:eastAsia="TH Sarabun New" w:hAnsi="TH Sarabun New"/>
          <w:sz w:val="32"/>
          <w:szCs w:val="32"/>
        </w:rPr>
        <w:t xml:space="preserve">หลักสูตร พ.ศ. 2551 มุ่งพัฒนาผู้เรียนให้เป็น "คนดี มีปัญญา มีความสุข" และมีศักยภาพในการศึกษาต่อและประกอบอาชีพ จึงกำหนดจุดหมายให้เกิดกับผู้เรียนเมื่อจบการศึกษาขั้นพื้นฐาน 5 ประการ ได้แก่ (1) มีคุณธรรม จริยธรรม และค่านิยมที่พึงประสงค์ (2) มีความรู้อันเป็นสากลและมีความสามารถในการสื่อสาร การคิด การแก้ปัญหา การใช้เทคโนโลยี และมีทักษะชีวิต (3) มีสุขภาพกายและสุขภาพจิตที่ดี รักการออกกำลังกาย (4) มีความรักชาติและจิตสำนึกในความเป็นพลเมืองไทยและพลโลก และ (5) มีจิตสำนึกในการอนุรักษ์วัฒนธรรม ภูมิปัญญาไทย และสิ่งแวดล้อม จุดหมายข้อ (2) ที่ระบุถึง "การคิด การแก้ปัญหา และการใช้เทคโนโลยี" คือจุดเชื่อมต่อโดยตรงกับการออกแบบบทเรียนเกมในงานวิจัยนี้</w:t>
      </w:r>
    </w:p>
    <w:p>
      <w:pPr>
        <w:spacing w:after="80" w:before="0" w:line="360"/>
        <w:ind w:firstLine="720"/>
        <w:jc w:val="both"/>
      </w:pPr>
      <w:r>
        <w:rPr>
          <w:rFonts w:ascii="TH Sarabun New" w:cs="TH Sarabun New" w:eastAsia="TH Sarabun New" w:hAnsi="TH Sarabun New"/>
          <w:b/>
          <w:bCs/>
          <w:sz w:val="32"/>
          <w:szCs w:val="32"/>
        </w:rPr>
        <w:t xml:space="preserve">(4) สมรรถนะสำคัญของผู้เรียน 5 ประการ  </w:t>
      </w:r>
      <w:r>
        <w:rPr>
          <w:rFonts w:ascii="TH Sarabun New" w:cs="TH Sarabun New" w:eastAsia="TH Sarabun New" w:hAnsi="TH Sarabun New"/>
          <w:sz w:val="32"/>
          <w:szCs w:val="32"/>
        </w:rPr>
        <w:t xml:space="preserve">หลักสูตรกำหนดสมรรถนะ 5 ด้านที่ต้องการให้เกิดกับผู้เรียน ซึ่งสอดคล้องอย่างใกล้ชิดกับกรอบทักษะแห่งศตวรรษที่ 21 (Partnership for 21st Century Skills, 2009) ได้แก่ การสื่อสาร การคิด การแก้ปัญหา การใช้ทักษะชีวิต และการใช้เทคโนโลยี สมรรถนะเหล่านี้ไม่ใช่ "วิชา" แยกต่างหาก แต่เป็น "ผลลัพธ์ที่ฝังอยู่ในกระบวนการเรียนรู้" ของทุกรายวิชา ในการออกแบบ COSMOS LOG ผู้วิจัยจึงพยายามถักทอสมรรถนะทั้ง 5 เข้าไปในกลไกของเกมแต่ละองก์ ดังที่สรุปไว้ในตารางที่ 2.1</w:t>
      </w:r>
    </w:p>
    <w:p>
      <w:pPr>
        <w:spacing w:after="100" w:before="200"/>
        <w:jc w:val="left"/>
      </w:pPr>
      <w:r>
        <w:rPr>
          <w:rFonts w:ascii="TH Sarabun New" w:cs="TH Sarabun New" w:eastAsia="TH Sarabun New" w:hAnsi="TH Sarabun New"/>
          <w:b/>
          <w:bCs/>
          <w:sz w:val="32"/>
          <w:szCs w:val="32"/>
        </w:rPr>
        <w:t xml:space="preserve">ตารางที่ 2.1  สมรรถนะสำคัญของผู้เรียน 5 ประการ และการสะท้อนใน COSMOS LOG</w:t>
      </w:r>
    </w:p>
    <w:tbl>
      <w:tblPr>
        <w:tblW w:type="pct" w:w="100%"/>
        <w:tblBorders>
          <w:top w:val="single" w:color="888888" w:sz="4"/>
          <w:left w:val="single" w:color="888888" w:sz="4"/>
          <w:bottom w:val="single" w:color="888888" w:sz="4"/>
          <w:right w:val="single" w:color="888888" w:sz="4"/>
          <w:insideH w:val="single" w:color="888888" w:sz="4"/>
          <w:insideV w:val="single" w:color="888888" w:sz="4"/>
        </w:tblBorders>
      </w:tblPr>
      <w:tblGrid>
        <w:gridCol w:w="100"/>
        <w:gridCol w:w="100"/>
      </w:tblGrid>
      <w:tr>
        <w:trPr>
          <w:tblHeader/>
        </w:trPr>
        <w:tc>
          <w:tcPr>
            <w:tcW w:type="pct" w:w="40%"/>
            <w:shd w:fill="D9E2F3" w:color="auto" w:val="clear"/>
          </w:tcPr>
          <w:p>
            <w:pPr>
              <w:spacing w:after="40" w:line="300"/>
              <w:jc w:val="left"/>
            </w:pPr>
            <w:r>
              <w:rPr>
                <w:rFonts w:ascii="TH Sarabun New" w:cs="TH Sarabun New" w:eastAsia="TH Sarabun New" w:hAnsi="TH Sarabun New"/>
                <w:b/>
                <w:bCs/>
                <w:sz w:val="30"/>
                <w:szCs w:val="30"/>
              </w:rPr>
              <w:t xml:space="preserve">สมรรถนะสำคัญ</w:t>
            </w:r>
          </w:p>
        </w:tc>
        <w:tc>
          <w:tcPr>
            <w:tcW w:type="pct" w:w="60%"/>
            <w:shd w:fill="D9E2F3" w:color="auto" w:val="clear"/>
          </w:tcPr>
          <w:p>
            <w:pPr>
              <w:spacing w:after="40" w:line="300"/>
              <w:jc w:val="left"/>
            </w:pPr>
            <w:r>
              <w:rPr>
                <w:rFonts w:ascii="TH Sarabun New" w:cs="TH Sarabun New" w:eastAsia="TH Sarabun New" w:hAnsi="TH Sarabun New"/>
                <w:b/>
                <w:bCs/>
                <w:sz w:val="30"/>
                <w:szCs w:val="30"/>
              </w:rPr>
              <w:t xml:space="preserve">การออกแบบใน COSMOS LOG</w:t>
            </w:r>
          </w:p>
        </w:tc>
      </w:tr>
      <w:tr>
        <w:trPr>
          <w:tblHeader w:val="false"/>
        </w:trPr>
        <w:tc>
          <w:tcPr>
            <w:tcW w:type="pct" w:w="40%"/>
          </w:tcPr>
          <w:p>
            <w:pPr>
              <w:spacing w:after="40" w:line="300"/>
              <w:jc w:val="left"/>
            </w:pPr>
            <w:r>
              <w:rPr>
                <w:rFonts w:ascii="TH Sarabun New" w:cs="TH Sarabun New" w:eastAsia="TH Sarabun New" w:hAnsi="TH Sarabun New"/>
                <w:b w:val="false"/>
                <w:bCs w:val="false"/>
                <w:sz w:val="30"/>
                <w:szCs w:val="30"/>
              </w:rPr>
              <w:t xml:space="preserve">1. ความสามารถในการสื่อสาร</w:t>
            </w:r>
          </w:p>
        </w:tc>
        <w:tc>
          <w:tcPr>
            <w:tcW w:type="pct" w:w="60%"/>
          </w:tcPr>
          <w:p>
            <w:pPr>
              <w:spacing w:after="40" w:line="300"/>
              <w:jc w:val="left"/>
            </w:pPr>
            <w:r>
              <w:rPr>
                <w:rFonts w:ascii="TH Sarabun New" w:cs="TH Sarabun New" w:eastAsia="TH Sarabun New" w:hAnsi="TH Sarabun New"/>
                <w:b w:val="false"/>
                <w:bCs w:val="false"/>
                <w:sz w:val="30"/>
                <w:szCs w:val="30"/>
              </w:rPr>
              <w:t xml:space="preserve">Journal 3-2-1 ปลายทุก EP · Self-Defense Journal (EP02 p09) · ออกแบบบทสัมภาษณ์ระหว่างตัวละครให้นักเรียนเขียนต่อ</w:t>
            </w:r>
          </w:p>
        </w:tc>
      </w:tr>
      <w:tr>
        <w:trPr>
          <w:tblHeader w:val="false"/>
        </w:trPr>
        <w:tc>
          <w:tcPr>
            <w:tcW w:type="pct" w:w="40%"/>
          </w:tcPr>
          <w:p>
            <w:pPr>
              <w:spacing w:after="40" w:line="300"/>
              <w:jc w:val="left"/>
            </w:pPr>
            <w:r>
              <w:rPr>
                <w:rFonts w:ascii="TH Sarabun New" w:cs="TH Sarabun New" w:eastAsia="TH Sarabun New" w:hAnsi="TH Sarabun New"/>
                <w:b w:val="false"/>
                <w:bCs w:val="false"/>
                <w:sz w:val="30"/>
                <w:szCs w:val="30"/>
              </w:rPr>
              <w:t xml:space="preserve">2. ความสามารถในการคิด</w:t>
            </w:r>
          </w:p>
        </w:tc>
        <w:tc>
          <w:tcPr>
            <w:tcW w:type="pct" w:w="60%"/>
          </w:tcPr>
          <w:p>
            <w:pPr>
              <w:spacing w:after="40" w:line="300"/>
              <w:jc w:val="left"/>
            </w:pPr>
            <w:r>
              <w:rPr>
                <w:rFonts w:ascii="TH Sarabun New" w:cs="TH Sarabun New" w:eastAsia="TH Sarabun New" w:hAnsi="TH Sarabun New"/>
                <w:b w:val="false"/>
                <w:bCs w:val="false"/>
                <w:sz w:val="30"/>
                <w:szCs w:val="30"/>
              </w:rPr>
              <w:t xml:space="preserve">Boss Fight ที่ใช้คิดวิเคราะห์–สังเคราะห์–ประเมิน · two-tier diagnostic ที่บังคับให้ระบุระดับความมั่นใจ</w:t>
            </w:r>
          </w:p>
        </w:tc>
      </w:tr>
      <w:tr>
        <w:trPr>
          <w:tblHeader w:val="false"/>
        </w:trPr>
        <w:tc>
          <w:tcPr>
            <w:tcW w:type="pct" w:w="40%"/>
          </w:tcPr>
          <w:p>
            <w:pPr>
              <w:spacing w:after="40" w:line="300"/>
              <w:jc w:val="left"/>
            </w:pPr>
            <w:r>
              <w:rPr>
                <w:rFonts w:ascii="TH Sarabun New" w:cs="TH Sarabun New" w:eastAsia="TH Sarabun New" w:hAnsi="TH Sarabun New"/>
                <w:b w:val="false"/>
                <w:bCs w:val="false"/>
                <w:sz w:val="30"/>
                <w:szCs w:val="30"/>
              </w:rPr>
              <w:t xml:space="preserve">3. ความสามารถในการแก้ปัญหา</w:t>
            </w:r>
          </w:p>
        </w:tc>
        <w:tc>
          <w:tcPr>
            <w:tcW w:type="pct" w:w="60%"/>
          </w:tcPr>
          <w:p>
            <w:pPr>
              <w:spacing w:after="40" w:line="300"/>
              <w:jc w:val="left"/>
            </w:pPr>
            <w:r>
              <w:rPr>
                <w:rFonts w:ascii="TH Sarabun New" w:cs="TH Sarabun New" w:eastAsia="TH Sarabun New" w:hAnsi="TH Sarabun New"/>
                <w:b w:val="false"/>
                <w:bCs w:val="false"/>
                <w:sz w:val="30"/>
                <w:szCs w:val="30"/>
              </w:rPr>
              <w:t xml:space="preserve">Mission Brief เปิดสถานการณ์ปัญหา · Lab Build ปฏิบัติแก้ปัญหา · Boss Fight ทดสอบการประยุกต์</w:t>
            </w:r>
          </w:p>
        </w:tc>
      </w:tr>
      <w:tr>
        <w:trPr>
          <w:tblHeader w:val="false"/>
        </w:trPr>
        <w:tc>
          <w:tcPr>
            <w:tcW w:type="pct" w:w="40%"/>
          </w:tcPr>
          <w:p>
            <w:pPr>
              <w:spacing w:after="40" w:line="300"/>
              <w:jc w:val="left"/>
            </w:pPr>
            <w:r>
              <w:rPr>
                <w:rFonts w:ascii="TH Sarabun New" w:cs="TH Sarabun New" w:eastAsia="TH Sarabun New" w:hAnsi="TH Sarabun New"/>
                <w:b w:val="false"/>
                <w:bCs w:val="false"/>
                <w:sz w:val="30"/>
                <w:szCs w:val="30"/>
              </w:rPr>
              <w:t xml:space="preserve">4. ความสามารถในการใช้ทักษะชีวิต</w:t>
            </w:r>
          </w:p>
        </w:tc>
        <w:tc>
          <w:tcPr>
            <w:tcW w:type="pct" w:w="60%"/>
          </w:tcPr>
          <w:p>
            <w:pPr>
              <w:spacing w:after="40" w:line="300"/>
              <w:jc w:val="left"/>
            </w:pPr>
            <w:r>
              <w:rPr>
                <w:rFonts w:ascii="TH Sarabun New" w:cs="TH Sarabun New" w:eastAsia="TH Sarabun New" w:hAnsi="TH Sarabun New"/>
                <w:b w:val="false"/>
                <w:bCs w:val="false"/>
                <w:sz w:val="30"/>
                <w:szCs w:val="30"/>
              </w:rPr>
              <w:t xml:space="preserve">เลือกใช้พลัง HELION บนข้อจำกัดของทรัพยากร · ทำงานกับเพื่อนผ่าน leaderboard</w:t>
            </w:r>
          </w:p>
        </w:tc>
      </w:tr>
      <w:tr>
        <w:trPr>
          <w:tblHeader w:val="false"/>
        </w:trPr>
        <w:tc>
          <w:tcPr>
            <w:tcW w:type="pct" w:w="40%"/>
          </w:tcPr>
          <w:p>
            <w:pPr>
              <w:spacing w:after="40" w:line="300"/>
              <w:jc w:val="left"/>
            </w:pPr>
            <w:r>
              <w:rPr>
                <w:rFonts w:ascii="TH Sarabun New" w:cs="TH Sarabun New" w:eastAsia="TH Sarabun New" w:hAnsi="TH Sarabun New"/>
                <w:b w:val="false"/>
                <w:bCs w:val="false"/>
                <w:sz w:val="30"/>
                <w:szCs w:val="30"/>
              </w:rPr>
              <w:t xml:space="preserve">5. ความสามารถในการใช้เทคโนโลยี</w:t>
            </w:r>
          </w:p>
        </w:tc>
        <w:tc>
          <w:tcPr>
            <w:tcW w:type="pct" w:w="60%"/>
          </w:tcPr>
          <w:p>
            <w:pPr>
              <w:spacing w:after="40" w:line="300"/>
              <w:jc w:val="left"/>
            </w:pPr>
            <w:r>
              <w:rPr>
                <w:rFonts w:ascii="TH Sarabun New" w:cs="TH Sarabun New" w:eastAsia="TH Sarabun New" w:hAnsi="TH Sarabun New"/>
                <w:b w:val="false"/>
                <w:bCs w:val="false"/>
                <w:sz w:val="30"/>
                <w:szCs w:val="30"/>
              </w:rPr>
              <w:t xml:space="preserve">ใช้งาน web-based platform · นำทาง UI · ใช้ simulation/calculator ในเกม</w:t>
            </w:r>
          </w:p>
        </w:tc>
      </w:tr>
    </w:tbl>
    <w:p>
      <w:pPr>
        <w:spacing w:after="80" w:before="0" w:line="360"/>
        <w:ind w:firstLine="720"/>
        <w:jc w:val="both"/>
      </w:pPr>
      <w:r>
        <w:rPr>
          <w:rFonts w:ascii="TH Sarabun New" w:cs="TH Sarabun New" w:eastAsia="TH Sarabun New" w:hAnsi="TH Sarabun New"/>
          <w:b/>
          <w:bCs/>
          <w:sz w:val="32"/>
          <w:szCs w:val="32"/>
        </w:rPr>
        <w:t xml:space="preserve">(5) คุณลักษณะอันพึงประสงค์ 8 ประการ  </w:t>
      </w:r>
      <w:r>
        <w:rPr>
          <w:rFonts w:ascii="TH Sarabun New" w:cs="TH Sarabun New" w:eastAsia="TH Sarabun New" w:hAnsi="TH Sarabun New"/>
          <w:sz w:val="32"/>
          <w:szCs w:val="32"/>
        </w:rPr>
        <w:t xml:space="preserve">หลักสูตรกำหนดคุณลักษณะที่ต้องการให้ผู้เรียนแสดงออกในชีวิต 8 ประการ ได้แก่ (1) รักชาติ ศาสน์ กษัตริย์ (2) ซื่อสัตย์สุจริต (3) มีวินัย (4) ใฝ่เรียนรู้ (5) อยู่อย่างพอเพียง (6) มุ่งมั่นในการทำงาน (7) รักความเป็นไทย และ (8) มีจิตสาธารณะ ในการออกแบบ COSMOS LOG ผู้วิจัยให้ความสำคัญเป็นพิเศษกับคุณลักษณะ "ใฝ่เรียนรู้" และ "มุ่งมั่นในการทำงาน" ผ่านระบบความก้าวหน้าของตัวละคร ระบบ achievement และการที่ผู้เรียนต้องลองผิดลองถูกในการเอาชนะบอสในแต่ละตอน ซึ่งสะท้อนแนวคิด "growth mindset" ของ Dweck (2006) ที่เน้นว่า ความพยายามและการเรียนรู้จากความผิดพลาดคือเส้นทางสู่ความเชี่ยวชาญ</w:t>
      </w:r>
    </w:p>
    <w:p>
      <w:pPr>
        <w:spacing w:after="120" w:before="280"/>
        <w:jc w:val="left"/>
      </w:pPr>
      <w:r>
        <w:rPr>
          <w:rFonts w:ascii="TH Sarabun New" w:cs="TH Sarabun New" w:eastAsia="TH Sarabun New" w:hAnsi="TH Sarabun New"/>
          <w:b/>
          <w:bCs/>
          <w:sz w:val="36"/>
          <w:szCs w:val="36"/>
        </w:rPr>
        <w:t xml:space="preserve">2.1.2 หลักสูตรสถานศึกษาโรงเรียนสตรีวิทยา</w:t>
      </w:r>
    </w:p>
    <w:p>
      <w:pPr>
        <w:spacing w:after="80" w:before="0" w:line="360"/>
        <w:ind w:firstLine="720"/>
        <w:jc w:val="both"/>
      </w:pPr>
      <w:r>
        <w:rPr>
          <w:rFonts w:ascii="TH Sarabun New" w:cs="TH Sarabun New" w:eastAsia="TH Sarabun New" w:hAnsi="TH Sarabun New"/>
          <w:sz w:val="32"/>
          <w:szCs w:val="32"/>
        </w:rPr>
        <w:t xml:space="preserve">แม้หลักสูตรแกนกลางจะกำหนดมาตรฐานและตัวชี้วัดร่วมของชาติ แต่การที่หลักสูตรเปิดทางให้สถานศึกษามี "ความยืดหยุ่น" ในการตีความและปรับใช้ ส่งผลให้แต่ละโรงเรียนมีอัตลักษณ์ที่แตกต่างกัน โรงเรียนสตรีวิทยาเป็นโรงเรียนหญิงล้วนระดับมัธยมศึกษาที่มีประวัติศาสตร์ยาวนาน และมีบริบทเฉพาะทั้งในเชิงประวัติศาสตร์ ค่านิยมของศิษย์เก่า และความคาดหวังของผู้ปกครอง ในส่วนนี้ผู้วิจัยจึงต้องสรุปวิสัยทัศน์ พันธกิจ และโครงสร้างหลักสูตรของโรงเรียนที่บังคับใช้กับนักเรียน ม.5 ในปีการศึกษา 2569 รวมถึง baseline เชิงสถิติของผลสัมฤทธิ์ในรายวิชาวิทยาศาสตร์</w:t>
      </w:r>
    </w:p>
    <w:p>
      <w:pPr>
        <w:spacing w:after="80" w:before="0" w:line="360"/>
        <w:ind w:firstLine="720"/>
        <w:jc w:val="both"/>
      </w:pPr>
      <w:r>
        <w:rPr>
          <w:rFonts w:ascii="TH Sarabun New" w:cs="TH Sarabun New" w:eastAsia="TH Sarabun New" w:hAnsi="TH Sarabun New"/>
          <w:color w:val="C00000"/>
          <w:sz w:val="32"/>
          <w:szCs w:val="32"/>
        </w:rPr>
        <w:t xml:space="preserve">[ผู้วิจัยเพิ่มเติม: วิสัยทัศน์ของโรงเรียนสตรีวิทยา ปีการศึกษา 2569 และอัตลักษณ์/เอกลักษณ์ของโรงเรียน · พันธกิจ · เป้าหมาย · ความสอดคล้องกับหลักสูตรแกนกลาง — โดยเชื่อมโยงให้เห็นว่า COSMOS LOG ตอบสนองอัตลักษณ์ของโรงเรียนอย่างไร]</w:t>
      </w:r>
    </w:p>
    <w:p>
      <w:pPr>
        <w:spacing w:after="80" w:before="0" w:line="360"/>
        <w:ind w:firstLine="720"/>
        <w:jc w:val="both"/>
      </w:pPr>
      <w:r>
        <w:rPr>
          <w:rFonts w:ascii="TH Sarabun New" w:cs="TH Sarabun New" w:eastAsia="TH Sarabun New" w:hAnsi="TH Sarabun New"/>
          <w:color w:val="C00000"/>
          <w:sz w:val="32"/>
          <w:szCs w:val="32"/>
        </w:rPr>
        <w:t xml:space="preserve">[ผู้วิจัยเพิ่มเติม: โครงสร้างหลักสูตรกลุ่มสาระวิทยาศาสตร์และเทคโนโลยี ระดับชั้นมัธยมศึกษาปีที่ 5 ของโรงเรียน · ระบุรายวิชาพื้นฐาน + เพิ่มเติมที่นักเรียน ม.5 เรียน · จำนวนหน่วยกิต]</w:t>
      </w:r>
    </w:p>
    <w:p>
      <w:pPr>
        <w:spacing w:after="80" w:before="0" w:line="360"/>
        <w:ind w:firstLine="720"/>
        <w:jc w:val="both"/>
      </w:pPr>
      <w:r>
        <w:rPr>
          <w:rFonts w:ascii="TH Sarabun New" w:cs="TH Sarabun New" w:eastAsia="TH Sarabun New" w:hAnsi="TH Sarabun New"/>
          <w:color w:val="C00000"/>
          <w:sz w:val="32"/>
          <w:szCs w:val="32"/>
        </w:rPr>
        <w:t xml:space="preserve">[ผู้วิจัยเพิ่มเติม: ผล O-NET วิทยาศาสตร์ของโรงเรียน 3 ปีย้อนหลัง (2566-2568) · ผลการเรียนเฉลี่ยรายวิชา ว 30105 ของโรงเรียน · ใช้ตัวเลขเหล่านี้สร้าง "ช่องว่างของปัญหา" (problem gap) ที่ COSMOS LOG จะเข้าไปอุด]</w:t>
      </w:r>
    </w:p>
    <w:p>
      <w:pPr>
        <w:spacing w:after="120" w:before="280"/>
        <w:jc w:val="left"/>
      </w:pPr>
      <w:r>
        <w:rPr>
          <w:rFonts w:ascii="TH Sarabun New" w:cs="TH Sarabun New" w:eastAsia="TH Sarabun New" w:hAnsi="TH Sarabun New"/>
          <w:b/>
          <w:bCs/>
          <w:sz w:val="36"/>
          <w:szCs w:val="36"/>
        </w:rPr>
        <w:t xml:space="preserve">2.1.3 รายวิชา ว 30105 วิทยาศาสตร์พื้นฐาน 5 (โลกและอวกาศ)</w:t>
      </w:r>
    </w:p>
    <w:p>
      <w:pPr>
        <w:spacing w:after="80" w:before="0" w:line="360"/>
        <w:ind w:firstLine="720"/>
        <w:jc w:val="both"/>
      </w:pPr>
      <w:r>
        <w:rPr>
          <w:rFonts w:ascii="TH Sarabun New" w:cs="TH Sarabun New" w:eastAsia="TH Sarabun New" w:hAnsi="TH Sarabun New"/>
          <w:sz w:val="32"/>
          <w:szCs w:val="32"/>
        </w:rPr>
        <w:t xml:space="preserve">รายวิชา ว 30105 วิทยาศาสตร์พื้นฐาน 5 (โลกและอวกาศ) เป็นรายวิชาในกลุ่มสาระการเรียนรู้วิทยาศาสตร์และเทคโนโลยี จัดให้นักเรียนชั้นมัธยมศึกษาปีที่ 5 เรียนตามหลักสูตรแกนกลาง พ.ศ. 2551 (ฉบับปรับปรุง พ.ศ. 2560) มีจำนวน 1.0 หน่วยกิต รวม 40 ชั่วโมงต่อภาคเรียน อยู่ในสาระที่ 3 วิทยาศาสตร์โลกและอวกาศ ครอบคลุมมาตรฐานหลัก 2 มาตรฐาน ที่ทำงานร่วมกันคือ "อวกาศข้างบน" และ "โลกใต้เท้า" ดังนี้</w:t>
      </w:r>
    </w:p>
    <w:p>
      <w:pPr>
        <w:spacing w:after="80" w:before="0" w:line="360"/>
        <w:ind w:firstLine="720"/>
        <w:jc w:val="both"/>
      </w:pPr>
      <w:r>
        <w:rPr>
          <w:rFonts w:ascii="TH Sarabun New" w:cs="TH Sarabun New" w:eastAsia="TH Sarabun New" w:hAnsi="TH Sarabun New"/>
          <w:b/>
          <w:bCs/>
          <w:sz w:val="32"/>
          <w:szCs w:val="32"/>
        </w:rPr>
        <w:t xml:space="preserve">มาตรฐาน ว 3.1  </w:t>
      </w:r>
      <w:r>
        <w:rPr>
          <w:rFonts w:ascii="TH Sarabun New" w:cs="TH Sarabun New" w:eastAsia="TH Sarabun New" w:hAnsi="TH Sarabun New"/>
          <w:sz w:val="32"/>
          <w:szCs w:val="32"/>
        </w:rPr>
        <w:t xml:space="preserve">มุ่งให้ผู้เรียนเข้าใจองค์ประกอบ ลักษณะ กระบวนการเกิด และวิวัฒนาการของเอกภพ กาแล็กซี ดาวฤกษ์ และระบบสุริยะ รวมทั้งปฏิสัมพันธ์ภายในระบบสุริยะที่ส่งผลต่อสิ่งมีชีวิตและการประยุกต์ใช้เทคโนโลยีอวกาศ มาตรฐานนี้คือ "ครึ่งบน" ของวิชา ที่ COSMOS LOG ใช้พื้นที่ส่วนใหญ่ออกแบบ EP01–EP04 และ EP07</w:t>
      </w:r>
    </w:p>
    <w:p>
      <w:pPr>
        <w:spacing w:after="80" w:before="0" w:line="360"/>
        <w:ind w:firstLine="720"/>
        <w:jc w:val="both"/>
      </w:pPr>
      <w:r>
        <w:rPr>
          <w:rFonts w:ascii="TH Sarabun New" w:cs="TH Sarabun New" w:eastAsia="TH Sarabun New" w:hAnsi="TH Sarabun New"/>
          <w:b/>
          <w:bCs/>
          <w:sz w:val="32"/>
          <w:szCs w:val="32"/>
        </w:rPr>
        <w:t xml:space="preserve">มาตรฐาน ว 3.2  </w:t>
      </w:r>
      <w:r>
        <w:rPr>
          <w:rFonts w:ascii="TH Sarabun New" w:cs="TH Sarabun New" w:eastAsia="TH Sarabun New" w:hAnsi="TH Sarabun New"/>
          <w:sz w:val="32"/>
          <w:szCs w:val="32"/>
        </w:rPr>
        <w:t xml:space="preserve">มุ่งให้ผู้เรียนเข้าใจองค์ประกอบและความสัมพันธ์ของระบบโลก กระบวนการเปลี่ยนแปลงภายในโลกและบนผิวโลก ธรณีพิบัติภัย กระบวนการเปลี่ยนแปลงลมฟ้าอากาศและภูมิอากาศโลก รวมทั้งผลต่อสิ่งมีชีวิตและสิ่งแวดล้อม มาตรฐานนี้คือ "ครึ่งล่าง" ที่ทอเนียนเข้ากับ EP05 (ดวงอาทิตย์–โลก) และ EP06 (ระบบสุริยะ) ก่อนหลอมรวมเป็นสตอรี่เดียวกันใน EP08</w:t>
      </w:r>
    </w:p>
    <w:p>
      <w:pPr>
        <w:spacing w:after="80" w:before="0" w:line="360"/>
        <w:ind w:firstLine="720"/>
        <w:jc w:val="both"/>
      </w:pPr>
      <w:r>
        <w:rPr>
          <w:rFonts w:ascii="TH Sarabun New" w:cs="TH Sarabun New" w:eastAsia="TH Sarabun New" w:hAnsi="TH Sarabun New"/>
          <w:sz w:val="32"/>
          <w:szCs w:val="32"/>
        </w:rPr>
        <w:t xml:space="preserve">การจัดเรียง 8 EP ของ COSMOS LOG ผู้วิจัยใช้แนวคิด "narrative arc" เป็นเส้นเวลาเดียวกับวิวัฒนาการของจักรวาล จากบิกแบงสู่กาแล็กซี สู่ดาวและระบบสุริยะ และปิดท้ายด้วยมนุษย์ที่ใช้คลื่นแม่เหล็กไฟฟ้าและเทคโนโลยีอวกาศมองย้อนกลับไปยังต้นกำเนิดของตน ซึ่งทำให้ตัวชี้วัดทุกตัวของสาระที่ 3 ถูกร้อยเข้าด้วยกันเป็นเรื่องเดียว ดังตารางที่ 2.2</w:t>
      </w:r>
    </w:p>
    <w:p>
      <w:pPr>
        <w:spacing w:after="100" w:before="200"/>
        <w:jc w:val="left"/>
      </w:pPr>
      <w:r>
        <w:rPr>
          <w:rFonts w:ascii="TH Sarabun New" w:cs="TH Sarabun New" w:eastAsia="TH Sarabun New" w:hAnsi="TH Sarabun New"/>
          <w:b/>
          <w:bCs/>
          <w:sz w:val="32"/>
          <w:szCs w:val="32"/>
        </w:rPr>
        <w:t xml:space="preserve">ตารางที่ 2.2  ความสัมพันธ์ระหว่างตัวชี้วัดและตอนของบทเรียน COSMOS LOG</w:t>
      </w:r>
    </w:p>
    <w:tbl>
      <w:tblPr>
        <w:tblW w:type="pct" w:w="100%"/>
        <w:tblBorders>
          <w:top w:val="single" w:color="888888" w:sz="4"/>
          <w:left w:val="single" w:color="888888" w:sz="4"/>
          <w:bottom w:val="single" w:color="888888" w:sz="4"/>
          <w:right w:val="single" w:color="888888" w:sz="4"/>
          <w:insideH w:val="single" w:color="888888" w:sz="4"/>
          <w:insideV w:val="single" w:color="888888" w:sz="4"/>
        </w:tblBorders>
      </w:tblPr>
      <w:tblGrid>
        <w:gridCol w:w="100"/>
        <w:gridCol w:w="100"/>
        <w:gridCol w:w="100"/>
        <w:gridCol w:w="100"/>
      </w:tblGrid>
      <w:tr>
        <w:trPr>
          <w:tblHeader/>
        </w:trPr>
        <w:tc>
          <w:tcPr>
            <w:tcW w:type="pct" w:w="10%"/>
            <w:shd w:fill="D9E2F3" w:color="auto" w:val="clear"/>
          </w:tcPr>
          <w:p>
            <w:pPr>
              <w:spacing w:after="40" w:line="300"/>
              <w:jc w:val="left"/>
            </w:pPr>
            <w:r>
              <w:rPr>
                <w:rFonts w:ascii="TH Sarabun New" w:cs="TH Sarabun New" w:eastAsia="TH Sarabun New" w:hAnsi="TH Sarabun New"/>
                <w:b/>
                <w:bCs/>
                <w:sz w:val="30"/>
                <w:szCs w:val="30"/>
              </w:rPr>
              <w:t xml:space="preserve">EP</w:t>
            </w:r>
          </w:p>
        </w:tc>
        <w:tc>
          <w:tcPr>
            <w:tcW w:type="pct" w:w="30%"/>
            <w:shd w:fill="D9E2F3" w:color="auto" w:val="clear"/>
          </w:tcPr>
          <w:p>
            <w:pPr>
              <w:spacing w:after="40" w:line="300"/>
              <w:jc w:val="left"/>
            </w:pPr>
            <w:r>
              <w:rPr>
                <w:rFonts w:ascii="TH Sarabun New" w:cs="TH Sarabun New" w:eastAsia="TH Sarabun New" w:hAnsi="TH Sarabun New"/>
                <w:b/>
                <w:bCs/>
                <w:sz w:val="30"/>
                <w:szCs w:val="30"/>
              </w:rPr>
              <w:t xml:space="preserve">ตอน</w:t>
            </w:r>
          </w:p>
        </w:tc>
        <w:tc>
          <w:tcPr>
            <w:tcW w:type="pct" w:w="50%"/>
            <w:shd w:fill="D9E2F3" w:color="auto" w:val="clear"/>
          </w:tcPr>
          <w:p>
            <w:pPr>
              <w:spacing w:after="40" w:line="300"/>
              <w:jc w:val="left"/>
            </w:pPr>
            <w:r>
              <w:rPr>
                <w:rFonts w:ascii="TH Sarabun New" w:cs="TH Sarabun New" w:eastAsia="TH Sarabun New" w:hAnsi="TH Sarabun New"/>
                <w:b/>
                <w:bCs/>
                <w:sz w:val="30"/>
                <w:szCs w:val="30"/>
              </w:rPr>
              <w:t xml:space="preserve">ตัวชี้วัด/สาระสำคัญ</w:t>
            </w:r>
          </w:p>
        </w:tc>
        <w:tc>
          <w:tcPr>
            <w:tcW w:type="pct" w:w="10%"/>
            <w:shd w:fill="D9E2F3" w:color="auto" w:val="clear"/>
          </w:tcPr>
          <w:p>
            <w:pPr>
              <w:spacing w:after="40" w:line="300"/>
              <w:jc w:val="left"/>
            </w:pPr>
            <w:r>
              <w:rPr>
                <w:rFonts w:ascii="TH Sarabun New" w:cs="TH Sarabun New" w:eastAsia="TH Sarabun New" w:hAnsi="TH Sarabun New"/>
                <w:b/>
                <w:bCs/>
                <w:sz w:val="30"/>
                <w:szCs w:val="30"/>
              </w:rPr>
              <w:t xml:space="preserve">คาบ</w:t>
            </w:r>
          </w:p>
        </w:tc>
      </w:tr>
      <w:tr>
        <w:trPr>
          <w:tblHeader w:val="false"/>
        </w:trPr>
        <w:tc>
          <w:tcPr>
            <w:tcW w:type="pct" w:w="10%"/>
          </w:tcPr>
          <w:p>
            <w:pPr>
              <w:spacing w:after="40" w:line="300"/>
              <w:jc w:val="left"/>
            </w:pPr>
            <w:r>
              <w:rPr>
                <w:rFonts w:ascii="TH Sarabun New" w:cs="TH Sarabun New" w:eastAsia="TH Sarabun New" w:hAnsi="TH Sarabun New"/>
                <w:b w:val="false"/>
                <w:bCs w:val="false"/>
                <w:sz w:val="30"/>
                <w:szCs w:val="30"/>
              </w:rPr>
              <w:t xml:space="preserve">EP01</w:t>
            </w:r>
          </w:p>
        </w:tc>
        <w:tc>
          <w:tcPr>
            <w:tcW w:type="pct" w:w="30%"/>
          </w:tcPr>
          <w:p>
            <w:pPr>
              <w:spacing w:after="40" w:line="300"/>
              <w:jc w:val="left"/>
            </w:pPr>
            <w:r>
              <w:rPr>
                <w:rFonts w:ascii="TH Sarabun New" w:cs="TH Sarabun New" w:eastAsia="TH Sarabun New" w:hAnsi="TH Sarabun New"/>
                <w:b w:val="false"/>
                <w:bCs w:val="false"/>
                <w:sz w:val="30"/>
                <w:szCs w:val="30"/>
              </w:rPr>
              <w:t xml:space="preserve">The Collision (กำเนิดเอกภพ)</w:t>
            </w:r>
          </w:p>
        </w:tc>
        <w:tc>
          <w:tcPr>
            <w:tcW w:type="pct" w:w="50%"/>
          </w:tcPr>
          <w:p>
            <w:pPr>
              <w:spacing w:after="40" w:line="300"/>
              <w:jc w:val="left"/>
            </w:pPr>
            <w:r>
              <w:rPr>
                <w:rFonts w:ascii="TH Sarabun New" w:cs="TH Sarabun New" w:eastAsia="TH Sarabun New" w:hAnsi="TH Sarabun New"/>
                <w:b w:val="false"/>
                <w:bCs w:val="false"/>
                <w:sz w:val="30"/>
                <w:szCs w:val="30"/>
              </w:rPr>
              <w:t xml:space="preserve">ว 3.1 ม.4-6/1: บิกแบง · CMB · การขยายตัวของเอกภพ</w:t>
            </w:r>
          </w:p>
        </w:tc>
        <w:tc>
          <w:tcPr>
            <w:tcW w:type="pct" w:w="10%"/>
          </w:tcPr>
          <w:p>
            <w:pPr>
              <w:spacing w:after="40" w:line="300"/>
              <w:jc w:val="left"/>
            </w:pPr>
            <w:r>
              <w:rPr>
                <w:rFonts w:ascii="TH Sarabun New" w:cs="TH Sarabun New" w:eastAsia="TH Sarabun New" w:hAnsi="TH Sarabun New"/>
                <w:b w:val="false"/>
                <w:bCs w:val="false"/>
                <w:sz w:val="30"/>
                <w:szCs w:val="30"/>
              </w:rPr>
              <w:t xml:space="preserve">4</w:t>
            </w:r>
          </w:p>
        </w:tc>
      </w:tr>
      <w:tr>
        <w:trPr>
          <w:tblHeader w:val="false"/>
        </w:trPr>
        <w:tc>
          <w:tcPr>
            <w:tcW w:type="pct" w:w="10%"/>
          </w:tcPr>
          <w:p>
            <w:pPr>
              <w:spacing w:after="40" w:line="300"/>
              <w:jc w:val="left"/>
            </w:pPr>
            <w:r>
              <w:rPr>
                <w:rFonts w:ascii="TH Sarabun New" w:cs="TH Sarabun New" w:eastAsia="TH Sarabun New" w:hAnsi="TH Sarabun New"/>
                <w:b w:val="false"/>
                <w:bCs w:val="false"/>
                <w:sz w:val="30"/>
                <w:szCs w:val="30"/>
              </w:rPr>
              <w:t xml:space="preserve">EP02</w:t>
            </w:r>
          </w:p>
        </w:tc>
        <w:tc>
          <w:tcPr>
            <w:tcW w:type="pct" w:w="30%"/>
          </w:tcPr>
          <w:p>
            <w:pPr>
              <w:spacing w:after="40" w:line="300"/>
              <w:jc w:val="left"/>
            </w:pPr>
            <w:r>
              <w:rPr>
                <w:rFonts w:ascii="TH Sarabun New" w:cs="TH Sarabun New" w:eastAsia="TH Sarabun New" w:hAnsi="TH Sarabun New"/>
                <w:b w:val="false"/>
                <w:bCs w:val="false"/>
                <w:sz w:val="30"/>
                <w:szCs w:val="30"/>
              </w:rPr>
              <w:t xml:space="preserve">กาแล็กซีและทางช้างเผือก</w:t>
            </w:r>
          </w:p>
        </w:tc>
        <w:tc>
          <w:tcPr>
            <w:tcW w:type="pct" w:w="50%"/>
          </w:tcPr>
          <w:p>
            <w:pPr>
              <w:spacing w:after="40" w:line="300"/>
              <w:jc w:val="left"/>
            </w:pPr>
            <w:r>
              <w:rPr>
                <w:rFonts w:ascii="TH Sarabun New" w:cs="TH Sarabun New" w:eastAsia="TH Sarabun New" w:hAnsi="TH Sarabun New"/>
                <w:b w:val="false"/>
                <w:bCs w:val="false"/>
                <w:sz w:val="30"/>
                <w:szCs w:val="30"/>
              </w:rPr>
              <w:t xml:space="preserve">ว 3.1 ม.4-6/2: โครงสร้างกาแล็กซี · Hubble Tuning Fork</w:t>
            </w:r>
          </w:p>
        </w:tc>
        <w:tc>
          <w:tcPr>
            <w:tcW w:type="pct" w:w="10%"/>
          </w:tcPr>
          <w:p>
            <w:pPr>
              <w:spacing w:after="40" w:line="300"/>
              <w:jc w:val="left"/>
            </w:pPr>
            <w:r>
              <w:rPr>
                <w:rFonts w:ascii="TH Sarabun New" w:cs="TH Sarabun New" w:eastAsia="TH Sarabun New" w:hAnsi="TH Sarabun New"/>
                <w:b w:val="false"/>
                <w:bCs w:val="false"/>
                <w:sz w:val="30"/>
                <w:szCs w:val="30"/>
              </w:rPr>
              <w:t xml:space="preserve">4</w:t>
            </w:r>
          </w:p>
        </w:tc>
      </w:tr>
      <w:tr>
        <w:trPr>
          <w:tblHeader w:val="false"/>
        </w:trPr>
        <w:tc>
          <w:tcPr>
            <w:tcW w:type="pct" w:w="10%"/>
          </w:tcPr>
          <w:p>
            <w:pPr>
              <w:spacing w:after="40" w:line="300"/>
              <w:jc w:val="left"/>
            </w:pPr>
            <w:r>
              <w:rPr>
                <w:rFonts w:ascii="TH Sarabun New" w:cs="TH Sarabun New" w:eastAsia="TH Sarabun New" w:hAnsi="TH Sarabun New"/>
                <w:b w:val="false"/>
                <w:bCs w:val="false"/>
                <w:sz w:val="30"/>
                <w:szCs w:val="30"/>
              </w:rPr>
              <w:t xml:space="preserve">EP03</w:t>
            </w:r>
          </w:p>
        </w:tc>
        <w:tc>
          <w:tcPr>
            <w:tcW w:type="pct" w:w="30%"/>
          </w:tcPr>
          <w:p>
            <w:pPr>
              <w:spacing w:after="40" w:line="300"/>
              <w:jc w:val="left"/>
            </w:pPr>
            <w:r>
              <w:rPr>
                <w:rFonts w:ascii="TH Sarabun New" w:cs="TH Sarabun New" w:eastAsia="TH Sarabun New" w:hAnsi="TH Sarabun New"/>
                <w:b w:val="false"/>
                <w:bCs w:val="false"/>
                <w:sz w:val="30"/>
                <w:szCs w:val="30"/>
              </w:rPr>
              <w:t xml:space="preserve">พาแรลแลกซ์และระยะดาว</w:t>
            </w:r>
          </w:p>
        </w:tc>
        <w:tc>
          <w:tcPr>
            <w:tcW w:type="pct" w:w="50%"/>
          </w:tcPr>
          <w:p>
            <w:pPr>
              <w:spacing w:after="40" w:line="300"/>
              <w:jc w:val="left"/>
            </w:pPr>
            <w:r>
              <w:rPr>
                <w:rFonts w:ascii="TH Sarabun New" w:cs="TH Sarabun New" w:eastAsia="TH Sarabun New" w:hAnsi="TH Sarabun New"/>
                <w:b w:val="false"/>
                <w:bCs w:val="false"/>
                <w:sz w:val="30"/>
                <w:szCs w:val="30"/>
              </w:rPr>
              <w:t xml:space="preserve">ว 3.1 ม.4-6/3: d=1/p · magnitude (m, M)</w:t>
            </w:r>
          </w:p>
        </w:tc>
        <w:tc>
          <w:tcPr>
            <w:tcW w:type="pct" w:w="10%"/>
          </w:tcPr>
          <w:p>
            <w:pPr>
              <w:spacing w:after="40" w:line="300"/>
              <w:jc w:val="left"/>
            </w:pPr>
            <w:r>
              <w:rPr>
                <w:rFonts w:ascii="TH Sarabun New" w:cs="TH Sarabun New" w:eastAsia="TH Sarabun New" w:hAnsi="TH Sarabun New"/>
                <w:b w:val="false"/>
                <w:bCs w:val="false"/>
                <w:sz w:val="30"/>
                <w:szCs w:val="30"/>
              </w:rPr>
              <w:t xml:space="preserve">4</w:t>
            </w:r>
          </w:p>
        </w:tc>
      </w:tr>
      <w:tr>
        <w:trPr>
          <w:tblHeader w:val="false"/>
        </w:trPr>
        <w:tc>
          <w:tcPr>
            <w:tcW w:type="pct" w:w="10%"/>
          </w:tcPr>
          <w:p>
            <w:pPr>
              <w:spacing w:after="40" w:line="300"/>
              <w:jc w:val="left"/>
            </w:pPr>
            <w:r>
              <w:rPr>
                <w:rFonts w:ascii="TH Sarabun New" w:cs="TH Sarabun New" w:eastAsia="TH Sarabun New" w:hAnsi="TH Sarabun New"/>
                <w:b w:val="false"/>
                <w:bCs w:val="false"/>
                <w:sz w:val="30"/>
                <w:szCs w:val="30"/>
              </w:rPr>
              <w:t xml:space="preserve">EP04</w:t>
            </w:r>
          </w:p>
        </w:tc>
        <w:tc>
          <w:tcPr>
            <w:tcW w:type="pct" w:w="30%"/>
          </w:tcPr>
          <w:p>
            <w:pPr>
              <w:spacing w:after="40" w:line="300"/>
              <w:jc w:val="left"/>
            </w:pPr>
            <w:r>
              <w:rPr>
                <w:rFonts w:ascii="TH Sarabun New" w:cs="TH Sarabun New" w:eastAsia="TH Sarabun New" w:hAnsi="TH Sarabun New"/>
                <w:b w:val="false"/>
                <w:bCs w:val="false"/>
                <w:sz w:val="30"/>
                <w:szCs w:val="30"/>
              </w:rPr>
              <w:t xml:space="preserve">วิวัฒนาการดาวฤกษ์</w:t>
            </w:r>
          </w:p>
        </w:tc>
        <w:tc>
          <w:tcPr>
            <w:tcW w:type="pct" w:w="50%"/>
          </w:tcPr>
          <w:p>
            <w:pPr>
              <w:spacing w:after="40" w:line="300"/>
              <w:jc w:val="left"/>
            </w:pPr>
            <w:r>
              <w:rPr>
                <w:rFonts w:ascii="TH Sarabun New" w:cs="TH Sarabun New" w:eastAsia="TH Sarabun New" w:hAnsi="TH Sarabun New"/>
                <w:b w:val="false"/>
                <w:bCs w:val="false"/>
                <w:sz w:val="30"/>
                <w:szCs w:val="30"/>
              </w:rPr>
              <w:t xml:space="preserve">ว 3.1 ม.4-6/4: HR diagram · นิวเคลียร์ฟิวชัน</w:t>
            </w:r>
          </w:p>
        </w:tc>
        <w:tc>
          <w:tcPr>
            <w:tcW w:type="pct" w:w="10%"/>
          </w:tcPr>
          <w:p>
            <w:pPr>
              <w:spacing w:after="40" w:line="300"/>
              <w:jc w:val="left"/>
            </w:pPr>
            <w:r>
              <w:rPr>
                <w:rFonts w:ascii="TH Sarabun New" w:cs="TH Sarabun New" w:eastAsia="TH Sarabun New" w:hAnsi="TH Sarabun New"/>
                <w:b w:val="false"/>
                <w:bCs w:val="false"/>
                <w:sz w:val="30"/>
                <w:szCs w:val="30"/>
              </w:rPr>
              <w:t xml:space="preserve">4</w:t>
            </w:r>
          </w:p>
        </w:tc>
      </w:tr>
      <w:tr>
        <w:trPr>
          <w:tblHeader w:val="false"/>
        </w:trPr>
        <w:tc>
          <w:tcPr>
            <w:tcW w:type="pct" w:w="10%"/>
          </w:tcPr>
          <w:p>
            <w:pPr>
              <w:spacing w:after="40" w:line="300"/>
              <w:jc w:val="left"/>
            </w:pPr>
            <w:r>
              <w:rPr>
                <w:rFonts w:ascii="TH Sarabun New" w:cs="TH Sarabun New" w:eastAsia="TH Sarabun New" w:hAnsi="TH Sarabun New"/>
                <w:b w:val="false"/>
                <w:bCs w:val="false"/>
                <w:sz w:val="30"/>
                <w:szCs w:val="30"/>
              </w:rPr>
              <w:t xml:space="preserve">EP05</w:t>
            </w:r>
          </w:p>
        </w:tc>
        <w:tc>
          <w:tcPr>
            <w:tcW w:type="pct" w:w="30%"/>
          </w:tcPr>
          <w:p>
            <w:pPr>
              <w:spacing w:after="40" w:line="300"/>
              <w:jc w:val="left"/>
            </w:pPr>
            <w:r>
              <w:rPr>
                <w:rFonts w:ascii="TH Sarabun New" w:cs="TH Sarabun New" w:eastAsia="TH Sarabun New" w:hAnsi="TH Sarabun New"/>
                <w:b w:val="false"/>
                <w:bCs w:val="false"/>
                <w:sz w:val="30"/>
                <w:szCs w:val="30"/>
              </w:rPr>
              <w:t xml:space="preserve">ดวงอาทิตย์และผลกระทบต่อโลก</w:t>
            </w:r>
          </w:p>
        </w:tc>
        <w:tc>
          <w:tcPr>
            <w:tcW w:type="pct" w:w="50%"/>
          </w:tcPr>
          <w:p>
            <w:pPr>
              <w:spacing w:after="40" w:line="300"/>
              <w:jc w:val="left"/>
            </w:pPr>
            <w:r>
              <w:rPr>
                <w:rFonts w:ascii="TH Sarabun New" w:cs="TH Sarabun New" w:eastAsia="TH Sarabun New" w:hAnsi="TH Sarabun New"/>
                <w:b w:val="false"/>
                <w:bCs w:val="false"/>
                <w:sz w:val="30"/>
                <w:szCs w:val="30"/>
              </w:rPr>
              <w:t xml:space="preserve">ว 3.2 ม.4-6/1: p-p chain · solar wind · solar flare</w:t>
            </w:r>
          </w:p>
        </w:tc>
        <w:tc>
          <w:tcPr>
            <w:tcW w:type="pct" w:w="10%"/>
          </w:tcPr>
          <w:p>
            <w:pPr>
              <w:spacing w:after="40" w:line="300"/>
              <w:jc w:val="left"/>
            </w:pPr>
            <w:r>
              <w:rPr>
                <w:rFonts w:ascii="TH Sarabun New" w:cs="TH Sarabun New" w:eastAsia="TH Sarabun New" w:hAnsi="TH Sarabun New"/>
                <w:b w:val="false"/>
                <w:bCs w:val="false"/>
                <w:sz w:val="30"/>
                <w:szCs w:val="30"/>
              </w:rPr>
              <w:t xml:space="preserve">4</w:t>
            </w:r>
          </w:p>
        </w:tc>
      </w:tr>
      <w:tr>
        <w:trPr>
          <w:tblHeader w:val="false"/>
        </w:trPr>
        <w:tc>
          <w:tcPr>
            <w:tcW w:type="pct" w:w="10%"/>
          </w:tcPr>
          <w:p>
            <w:pPr>
              <w:spacing w:after="40" w:line="300"/>
              <w:jc w:val="left"/>
            </w:pPr>
            <w:r>
              <w:rPr>
                <w:rFonts w:ascii="TH Sarabun New" w:cs="TH Sarabun New" w:eastAsia="TH Sarabun New" w:hAnsi="TH Sarabun New"/>
                <w:b w:val="false"/>
                <w:bCs w:val="false"/>
                <w:sz w:val="30"/>
                <w:szCs w:val="30"/>
              </w:rPr>
              <w:t xml:space="preserve">EP06</w:t>
            </w:r>
          </w:p>
        </w:tc>
        <w:tc>
          <w:tcPr>
            <w:tcW w:type="pct" w:w="30%"/>
          </w:tcPr>
          <w:p>
            <w:pPr>
              <w:spacing w:after="40" w:line="300"/>
              <w:jc w:val="left"/>
            </w:pPr>
            <w:r>
              <w:rPr>
                <w:rFonts w:ascii="TH Sarabun New" w:cs="TH Sarabun New" w:eastAsia="TH Sarabun New" w:hAnsi="TH Sarabun New"/>
                <w:b w:val="false"/>
                <w:bCs w:val="false"/>
                <w:sz w:val="30"/>
                <w:szCs w:val="30"/>
              </w:rPr>
              <w:t xml:space="preserve">ระบบสุริยะ</w:t>
            </w:r>
          </w:p>
        </w:tc>
        <w:tc>
          <w:tcPr>
            <w:tcW w:type="pct" w:w="50%"/>
          </w:tcPr>
          <w:p>
            <w:pPr>
              <w:spacing w:after="40" w:line="300"/>
              <w:jc w:val="left"/>
            </w:pPr>
            <w:r>
              <w:rPr>
                <w:rFonts w:ascii="TH Sarabun New" w:cs="TH Sarabun New" w:eastAsia="TH Sarabun New" w:hAnsi="TH Sarabun New"/>
                <w:b w:val="false"/>
                <w:bCs w:val="false"/>
                <w:sz w:val="30"/>
                <w:szCs w:val="30"/>
              </w:rPr>
              <w:t xml:space="preserve">ว 3.2 ม.4-6/2: ดาวเคราะห์ · กฎเคปเลอร์</w:t>
            </w:r>
          </w:p>
        </w:tc>
        <w:tc>
          <w:tcPr>
            <w:tcW w:type="pct" w:w="10%"/>
          </w:tcPr>
          <w:p>
            <w:pPr>
              <w:spacing w:after="40" w:line="300"/>
              <w:jc w:val="left"/>
            </w:pPr>
            <w:r>
              <w:rPr>
                <w:rFonts w:ascii="TH Sarabun New" w:cs="TH Sarabun New" w:eastAsia="TH Sarabun New" w:hAnsi="TH Sarabun New"/>
                <w:b w:val="false"/>
                <w:bCs w:val="false"/>
                <w:sz w:val="30"/>
                <w:szCs w:val="30"/>
              </w:rPr>
              <w:t xml:space="preserve">4</w:t>
            </w:r>
          </w:p>
        </w:tc>
      </w:tr>
      <w:tr>
        <w:trPr>
          <w:tblHeader w:val="false"/>
        </w:trPr>
        <w:tc>
          <w:tcPr>
            <w:tcW w:type="pct" w:w="10%"/>
          </w:tcPr>
          <w:p>
            <w:pPr>
              <w:spacing w:after="40" w:line="300"/>
              <w:jc w:val="left"/>
            </w:pPr>
            <w:r>
              <w:rPr>
                <w:rFonts w:ascii="TH Sarabun New" w:cs="TH Sarabun New" w:eastAsia="TH Sarabun New" w:hAnsi="TH Sarabun New"/>
                <w:b w:val="false"/>
                <w:bCs w:val="false"/>
                <w:sz w:val="30"/>
                <w:szCs w:val="30"/>
              </w:rPr>
              <w:t xml:space="preserve">EP07</w:t>
            </w:r>
          </w:p>
        </w:tc>
        <w:tc>
          <w:tcPr>
            <w:tcW w:type="pct" w:w="30%"/>
          </w:tcPr>
          <w:p>
            <w:pPr>
              <w:spacing w:after="40" w:line="300"/>
              <w:jc w:val="left"/>
            </w:pPr>
            <w:r>
              <w:rPr>
                <w:rFonts w:ascii="TH Sarabun New" w:cs="TH Sarabun New" w:eastAsia="TH Sarabun New" w:hAnsi="TH Sarabun New"/>
                <w:b w:val="false"/>
                <w:bCs w:val="false"/>
                <w:sz w:val="30"/>
                <w:szCs w:val="30"/>
              </w:rPr>
              <w:t xml:space="preserve">คลื่น EM และเทคโนโลยีอวกาศ</w:t>
            </w:r>
          </w:p>
        </w:tc>
        <w:tc>
          <w:tcPr>
            <w:tcW w:type="pct" w:w="50%"/>
          </w:tcPr>
          <w:p>
            <w:pPr>
              <w:spacing w:after="40" w:line="300"/>
              <w:jc w:val="left"/>
            </w:pPr>
            <w:r>
              <w:rPr>
                <w:rFonts w:ascii="TH Sarabun New" w:cs="TH Sarabun New" w:eastAsia="TH Sarabun New" w:hAnsi="TH Sarabun New"/>
                <w:b w:val="false"/>
                <w:bCs w:val="false"/>
                <w:sz w:val="30"/>
                <w:szCs w:val="30"/>
              </w:rPr>
              <w:t xml:space="preserve">ว 3.2 ม.4-6/3: คลื่น EM 7 ย่าน · JWST · GPS</w:t>
            </w:r>
          </w:p>
        </w:tc>
        <w:tc>
          <w:tcPr>
            <w:tcW w:type="pct" w:w="10%"/>
          </w:tcPr>
          <w:p>
            <w:pPr>
              <w:spacing w:after="40" w:line="300"/>
              <w:jc w:val="left"/>
            </w:pPr>
            <w:r>
              <w:rPr>
                <w:rFonts w:ascii="TH Sarabun New" w:cs="TH Sarabun New" w:eastAsia="TH Sarabun New" w:hAnsi="TH Sarabun New"/>
                <w:b w:val="false"/>
                <w:bCs w:val="false"/>
                <w:sz w:val="30"/>
                <w:szCs w:val="30"/>
              </w:rPr>
              <w:t xml:space="preserve">4</w:t>
            </w:r>
          </w:p>
        </w:tc>
      </w:tr>
      <w:tr>
        <w:trPr>
          <w:tblHeader w:val="false"/>
        </w:trPr>
        <w:tc>
          <w:tcPr>
            <w:tcW w:type="pct" w:w="10%"/>
          </w:tcPr>
          <w:p>
            <w:pPr>
              <w:spacing w:after="40" w:line="300"/>
              <w:jc w:val="left"/>
            </w:pPr>
            <w:r>
              <w:rPr>
                <w:rFonts w:ascii="TH Sarabun New" w:cs="TH Sarabun New" w:eastAsia="TH Sarabun New" w:hAnsi="TH Sarabun New"/>
                <w:b w:val="false"/>
                <w:bCs w:val="false"/>
                <w:sz w:val="30"/>
                <w:szCs w:val="30"/>
              </w:rPr>
              <w:t xml:space="preserve">EP08</w:t>
            </w:r>
          </w:p>
        </w:tc>
        <w:tc>
          <w:tcPr>
            <w:tcW w:type="pct" w:w="30%"/>
          </w:tcPr>
          <w:p>
            <w:pPr>
              <w:spacing w:after="40" w:line="300"/>
              <w:jc w:val="left"/>
            </w:pPr>
            <w:r>
              <w:rPr>
                <w:rFonts w:ascii="TH Sarabun New" w:cs="TH Sarabun New" w:eastAsia="TH Sarabun New" w:hAnsi="TH Sarabun New"/>
                <w:b w:val="false"/>
                <w:bCs w:val="false"/>
                <w:sz w:val="30"/>
                <w:szCs w:val="30"/>
              </w:rPr>
              <w:t xml:space="preserve">Genesis Again (Season Finale)</w:t>
            </w:r>
          </w:p>
        </w:tc>
        <w:tc>
          <w:tcPr>
            <w:tcW w:type="pct" w:w="50%"/>
          </w:tcPr>
          <w:p>
            <w:pPr>
              <w:spacing w:after="40" w:line="300"/>
              <w:jc w:val="left"/>
            </w:pPr>
            <w:r>
              <w:rPr>
                <w:rFonts w:ascii="TH Sarabun New" w:cs="TH Sarabun New" w:eastAsia="TH Sarabun New" w:hAnsi="TH Sarabun New"/>
                <w:b w:val="false"/>
                <w:bCs w:val="false"/>
                <w:sz w:val="30"/>
                <w:szCs w:val="30"/>
              </w:rPr>
              <w:t xml:space="preserve">บูรณาการตัวชี้วัด ว 3.1 และ ว 3.2</w:t>
            </w:r>
          </w:p>
        </w:tc>
        <w:tc>
          <w:tcPr>
            <w:tcW w:type="pct" w:w="10%"/>
          </w:tcPr>
          <w:p>
            <w:pPr>
              <w:spacing w:after="40" w:line="300"/>
              <w:jc w:val="left"/>
            </w:pPr>
            <w:r>
              <w:rPr>
                <w:rFonts w:ascii="TH Sarabun New" w:cs="TH Sarabun New" w:eastAsia="TH Sarabun New" w:hAnsi="TH Sarabun New"/>
                <w:b w:val="false"/>
                <w:bCs w:val="false"/>
                <w:sz w:val="30"/>
                <w:szCs w:val="30"/>
              </w:rPr>
              <w:t xml:space="preserve">4</w:t>
            </w:r>
          </w:p>
        </w:tc>
      </w:tr>
    </w:tbl>
    <w:p>
      <w:pPr>
        <w:spacing w:after="120" w:before="280"/>
        <w:jc w:val="left"/>
      </w:pPr>
      <w:r>
        <w:rPr>
          <w:rFonts w:ascii="TH Sarabun New" w:cs="TH Sarabun New" w:eastAsia="TH Sarabun New" w:hAnsi="TH Sarabun New"/>
          <w:b/>
          <w:bCs/>
          <w:sz w:val="36"/>
          <w:szCs w:val="36"/>
        </w:rPr>
        <w:t xml:space="preserve">2.1.4 ลักษณะเฉพาะของรายวิชาที่ส่งผลต่อการจัดการเรียนรู้</w:t>
      </w:r>
    </w:p>
    <w:p>
      <w:pPr>
        <w:spacing w:after="80" w:before="0" w:line="360"/>
        <w:ind w:firstLine="720"/>
        <w:jc w:val="both"/>
      </w:pPr>
      <w:r>
        <w:rPr>
          <w:rFonts w:ascii="TH Sarabun New" w:cs="TH Sarabun New" w:eastAsia="TH Sarabun New" w:hAnsi="TH Sarabun New"/>
          <w:sz w:val="32"/>
          <w:szCs w:val="32"/>
        </w:rPr>
        <w:t xml:space="preserve">การที่ครูผู้สอนรายวิชา ว 30105 จะสามารถออกแบบการสอนได้อย่างเหมาะสม จำเป็นต้องเข้าใจ "ลักษณะเฉพาะ" ของรายวิชานี้ ที่แตกต่างจากรายวิชาฟิสิกส์ เคมี ชีววิทยา หรือแม้แต่วิทยาศาสตร์โลกระดับมัธยมศึกษาตอนต้น ผู้วิจัยได้วิเคราะห์ลักษณะเฉพาะเหล่านี้ออกมาเป็น 5 ประการ ที่สัมพันธ์กันเชิงเหตุและผล กล่าวคือ ลักษณะเฉพาะข้อที่ 1 และ 2 เป็นเหตุของข้อที่ 3 และ 4 ขณะที่ข้อที่ 5 เป็นโอกาสที่ครูสามารถใช้แก้ปัญหาที่เกิดขึ้นจากข้ออื่น ๆ ได้</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เนื้อหาเป็นปรากฏการณ์ระดับจักรวาล ที่ไม่อาจสังเกตหรือทดลองในห้องเรียนได้โดยตรง เช่น การกำเนิดเอกภพ การเกิด supernova การหลอมนิวเคลียสในดวงอาทิตย์ ทำให้ผู้เรียนต้องอาศัยการคิดเชิงนามธรรมในระดับสูง และครูต้องใช้สื่อ visualization เพื่อ "ทำให้เห็นได้" สิ่งที่มองไม่เห็นโดยตรง</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ใช้คณิตศาสตร์ในระดับที่หลากหลาย ตั้งแต่อัตราส่วน (parallax: d = 1/p) ไปจนถึงสมการของ Hubble (v = H₀d) และการแปลงหน่วยทางดาราศาสตร์ (AU, pc, ly) ที่นักเรียนไม่คุ้นเคย</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มีมโนทัศน์ที่คลาดเคลื่อนแฝงอยู่จำนวนมาก จากความเข้าใจในชีวิตประจำวัน (intuitive misconception) เช่น ความเชื่อยอดนิยมว่า "ฤดูกาลเกิดจากระยะห่างระหว่างโลกกับดวงอาทิตย์" ซึ่งงานวิจัยของ Sadler และคณะแสดงว่าแม้บัณฑิตจาก Harvard ก็ยังตอบผิด</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เป็นเนื้อหาที่ผู้เรียนรับรู้ว่า "ไม่ใช่ฟิสิกส์จริง" "ท่องจำเยอะ" และ "ไม่อยู่ในข้อสอบเข้ามหาวิทยาลัย" ทำให้แรงจูงใจในการเรียนต่ำกว่ารายวิชาวิทยาศาสตร์อื่นในระดับ ม.5</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มีโอกาสในการใช้สื่อ visualization และ simulation สูงมาก ทั้งแผนภาพ HR · animation supernova · solar storm timeline · planet orbits ซึ่งเหมาะแก่การประยุกต์เกมดิจิทัลและ active learning</w:t>
      </w:r>
    </w:p>
    <w:p>
      <w:pPr>
        <w:spacing w:after="80" w:before="0" w:line="360"/>
        <w:ind w:firstLine="720"/>
        <w:jc w:val="both"/>
      </w:pPr>
      <w:r>
        <w:rPr>
          <w:rFonts w:ascii="TH Sarabun New" w:cs="TH Sarabun New" w:eastAsia="TH Sarabun New" w:hAnsi="TH Sarabun New"/>
          <w:sz w:val="32"/>
          <w:szCs w:val="32"/>
        </w:rPr>
        <w:t xml:space="preserve">ลักษณะเฉพาะข้างต้น โดยเฉพาะข้อที่ 4 ที่เกี่ยวข้องกับแรงจูงใจ และข้อที่ 5 ที่เปิดโอกาสให้ใช้สื่อดิจิทัล จึงทำให้รายวิชา ว 30105 เหมาะสมเป็นพิเศษสำหรับการใช้เกมดิจิทัลและการจัดการเรียนรู้แบบ active learning ที่สามารถสร้างประสบการณ์ตรงเสมือน (simulated direct experience) ให้แก่ผู้เรียน และเชื่อมความรู้สึกของนักเรียนเข้ากับความยิ่งใหญ่ของจักรวาล—สิ่งที่การบรรยายและตำราเรียนเพียงอย่างเดียวทำได้ยาก</w:t>
      </w:r>
    </w:p>
    <w:p>
      <w:pPr>
        <w:spacing w:after="160" w:before="360"/>
        <w:jc w:val="left"/>
      </w:pPr>
      <w:r>
        <w:rPr>
          <w:rFonts w:ascii="TH Sarabun New" w:cs="TH Sarabun New" w:eastAsia="TH Sarabun New" w:hAnsi="TH Sarabun New"/>
          <w:b/>
          <w:bCs/>
          <w:sz w:val="40"/>
          <w:szCs w:val="40"/>
        </w:rPr>
        <w:t xml:space="preserve">2.2  การวิจัยและพัฒนา (Research and Development)</w:t>
      </w:r>
    </w:p>
    <w:p>
      <w:pPr>
        <w:spacing w:after="80" w:before="0" w:line="360"/>
        <w:ind w:firstLine="720"/>
        <w:jc w:val="both"/>
      </w:pPr>
      <w:r>
        <w:rPr>
          <w:rFonts w:ascii="TH Sarabun New" w:cs="TH Sarabun New" w:eastAsia="TH Sarabun New" w:hAnsi="TH Sarabun New"/>
          <w:sz w:val="32"/>
          <w:szCs w:val="32"/>
        </w:rPr>
        <w:t xml:space="preserve">เมื่อระบุ "บริบท" ที่นวัตกรรมจะเข้าไปยืนได้แล้ว ผู้วิจัยต้องเลือก "เส้นทาง" ในการสร้างนวัตกรรม การวิจัยและพัฒนา (Research and Development หรือ R&amp;D) เป็นวิธีวิทยาที่เหมาะสมที่สุดสำหรับการสร้างผลิตภัณฑ์ทางการศึกษาให้มีคุณภาพและใช้ได้จริง เนื่องจากเป็นวิธีวิทยาที่บูรณาการทั้ง "การออกแบบ" และ "การประเมิน" ไว้ในกระบวนการเดียว และเป็นวิธีที่สถาบันคุรุพัฒนาและ ก.ค.ศ. ยอมรับเป็นพื้นฐานของผลงานเชิงประจักษ์ในการประเมินวิทยฐานะตามเกณฑ์ วPA</w:t>
      </w:r>
    </w:p>
    <w:p>
      <w:pPr>
        <w:spacing w:after="120" w:before="280"/>
        <w:jc w:val="left"/>
      </w:pPr>
      <w:r>
        <w:rPr>
          <w:rFonts w:ascii="TH Sarabun New" w:cs="TH Sarabun New" w:eastAsia="TH Sarabun New" w:hAnsi="TH Sarabun New"/>
          <w:b/>
          <w:bCs/>
          <w:sz w:val="36"/>
          <w:szCs w:val="36"/>
        </w:rPr>
        <w:t xml:space="preserve">2.2.1 ความหมายของการวิจัยและพัฒนา</w:t>
      </w:r>
    </w:p>
    <w:p>
      <w:pPr>
        <w:spacing w:after="80" w:before="0" w:line="360"/>
        <w:ind w:firstLine="720"/>
        <w:jc w:val="both"/>
      </w:pPr>
      <w:r>
        <w:rPr>
          <w:rFonts w:ascii="TH Sarabun New" w:cs="TH Sarabun New" w:eastAsia="TH Sarabun New" w:hAnsi="TH Sarabun New"/>
          <w:sz w:val="32"/>
          <w:szCs w:val="32"/>
        </w:rPr>
        <w:t xml:space="preserve">Borg และ Gall (1989) สองนักวิจัยทางการศึกษาแห่งมหาวิทยาลัยแห่งรัฐโอเรกอน ได้เสนอนิยามอย่างเป็นทางการของการวิจัยและพัฒนาทางการศึกษาว่า เป็นกระบวนการที่ใช้เพื่อพัฒนาและตรวจสอบคุณภาพของผลิตภัณฑ์ทางการศึกษา (educational products) ซึ่งครอบคลุมทั้งสื่อการเรียนรู้ หลักสูตร แบบเรียน วิธีสอน และเทคโนโลยีการศึกษา ต่อมา Richey และ Klein (2007) ได้ขยายความหมายให้ครอบคลุมยิ่งขึ้นว่า การวิจัยและพัฒนา คือ "การศึกษาอย่างเป็นระบบของการออกแบบ การพัฒนา และการประเมินผล ของกระบวนการ ผลิตภัณฑ์ และสื่อการเรียนการสอน เพื่อสร้างฐานความรู้เชิงประจักษ์สำหรับการตัดสินใจในการนำไปใช้" สำหรับบริบทประเทศไทย ทิศนา แขมมณี (2562) ได้สรุปว่า การวิจัยและพัฒนาทางการศึกษามีจุดประสงค์ 3 ประการ คือ (1) สร้างนวัตกรรมใหม่ (2) ปรับปรุงนวัตกรรมเดิม และ (3) ตรวจสอบคุณภาพของนวัตกรรมก่อนเผยแพร่ ซึ่งจุดประสงค์ทั้งสามข้อนี้ครอบคลุมงานวิจัยปัจจุบันโดยตรง</w:t>
      </w:r>
    </w:p>
    <w:p>
      <w:pPr>
        <w:spacing w:after="120" w:before="280"/>
        <w:jc w:val="left"/>
      </w:pPr>
      <w:r>
        <w:rPr>
          <w:rFonts w:ascii="TH Sarabun New" w:cs="TH Sarabun New" w:eastAsia="TH Sarabun New" w:hAnsi="TH Sarabun New"/>
          <w:b/>
          <w:bCs/>
          <w:sz w:val="36"/>
          <w:szCs w:val="36"/>
        </w:rPr>
        <w:t xml:space="preserve">2.2.2 แนวคิดและรูปแบบของการวิจัยและพัฒนา</w:t>
      </w:r>
    </w:p>
    <w:p>
      <w:pPr>
        <w:spacing w:after="80" w:before="0" w:line="360"/>
        <w:ind w:firstLine="720"/>
        <w:jc w:val="both"/>
      </w:pPr>
      <w:r>
        <w:rPr>
          <w:rFonts w:ascii="TH Sarabun New" w:cs="TH Sarabun New" w:eastAsia="TH Sarabun New" w:hAnsi="TH Sarabun New"/>
          <w:sz w:val="32"/>
          <w:szCs w:val="32"/>
        </w:rPr>
        <w:t xml:space="preserve">เมื่อพูดถึง R&amp;D ในวงการศึกษา รูปแบบที่นักวิจัยมักอ้างถึงมีอยู่สามรูปแบบหลัก ที่ผู้วิจัยจะอธิบายและเปรียบเทียบ เพื่อหาแบบที่เหมาะสมที่สุดกับบริบทของงานวิจัยนี้</w:t>
      </w:r>
    </w:p>
    <w:p>
      <w:pPr>
        <w:spacing w:after="100" w:before="200"/>
        <w:jc w:val="left"/>
      </w:pPr>
      <w:r>
        <w:rPr>
          <w:rFonts w:ascii="TH Sarabun New" w:cs="TH Sarabun New" w:eastAsia="TH Sarabun New" w:hAnsi="TH Sarabun New"/>
          <w:b/>
          <w:bCs/>
          <w:sz w:val="34"/>
          <w:szCs w:val="34"/>
        </w:rPr>
        <w:t xml:space="preserve">(1) รูปแบบของ Borg และ Gall (1989)</w:t>
      </w:r>
    </w:p>
    <w:p>
      <w:pPr>
        <w:spacing w:after="80" w:before="0" w:line="360"/>
        <w:ind w:firstLine="720"/>
        <w:jc w:val="both"/>
      </w:pPr>
      <w:r>
        <w:rPr>
          <w:rFonts w:ascii="TH Sarabun New" w:cs="TH Sarabun New" w:eastAsia="TH Sarabun New" w:hAnsi="TH Sarabun New"/>
          <w:sz w:val="32"/>
          <w:szCs w:val="32"/>
        </w:rPr>
        <w:t xml:space="preserve">Borg และ Gall เสนอรูปแบบ R&amp;D ที่มีรายละเอียดมากที่สุด คือ 10 ขั้นตอน ซึ่งกลายเป็นต้นแบบที่งานวิจัยทางการศึกษาทั่วโลกอ้างอิง แต่ก็มีผู้วิจารณ์ว่ามีขั้นตอนยาวเกินกว่าวงรอบของวิทยานิพนธ์หรือการวิจัยในชั้นเรียน ขั้นตอนทั้ง 10 มีดังนี้</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Research and Information Collecting — ศึกษาข้อมูลเบื้องต้นและทบทวนวรรณกรรม</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Planning — วางแผนวัตถุประสงค์และทรัพยากร</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Develop Preliminary Form of Product — พัฒนาต้นแบบ</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Preliminary Field Testing — ทดลองใช้กับกลุ่มเล็ก (6–12 คน)</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Main Product Revision — ปรับปรุงผลิตภัณฑ์</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Main Field Testing — ทดลองใช้กับกลุ่มใหญ่ขึ้น (30–100 คน)</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Operational Product Revision — ปรับปรุงครั้งที่ 2</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Operational Field Testing — ทดลองใช้ในสภาพจริง (40–200 คน)</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Final Product Revision — ปรับปรุงครั้งสุดท้าย</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Dissemination and Implementation — เผยแพร่และนำไปใช้</w:t>
      </w:r>
    </w:p>
    <w:p>
      <w:pPr>
        <w:spacing w:after="100" w:before="200"/>
        <w:jc w:val="left"/>
      </w:pPr>
      <w:r>
        <w:rPr>
          <w:rFonts w:ascii="TH Sarabun New" w:cs="TH Sarabun New" w:eastAsia="TH Sarabun New" w:hAnsi="TH Sarabun New"/>
          <w:b/>
          <w:bCs/>
          <w:sz w:val="34"/>
          <w:szCs w:val="34"/>
        </w:rPr>
        <w:t xml:space="preserve">(2) รูปแบบ ADDIE (Branch, 2009)</w:t>
      </w:r>
    </w:p>
    <w:p>
      <w:pPr>
        <w:spacing w:after="80" w:before="0" w:line="360"/>
        <w:ind w:firstLine="720"/>
        <w:jc w:val="both"/>
      </w:pPr>
      <w:r>
        <w:rPr>
          <w:rFonts w:ascii="TH Sarabun New" w:cs="TH Sarabun New" w:eastAsia="TH Sarabun New" w:hAnsi="TH Sarabun New"/>
          <w:sz w:val="32"/>
          <w:szCs w:val="32"/>
        </w:rPr>
        <w:t xml:space="preserve">ADDIE เป็นรูปแบบการออกแบบการเรียนการสอน (instructional design) ที่ถือกำเนิดในวงการฝึกอบรมของกองทัพสหรัฐในช่วงทศวรรษ 1970 ก่อนแพร่หลายเข้าสู่วงการศึกษาและการพัฒนาสื่อ e-Learning ในเวลาต่อมา ความเรียบง่ายเพียง 5 ขั้นทำให้ ADDIE กลายเป็นรูปแบบที่ได้รับความนิยมสูงสุดในการพัฒนาสื่อดิจิทัล ประกอบด้วย (1) Analysis วิเคราะห์ความต้องการและกลุ่มเป้าหมาย (2) Design ออกแบบโครงสร้างและกิจกรรม (3) Development พัฒนาสื่อจริง (4) Implementation นำไปใช้ในห้องเรียน และ (5) Evaluation ประเมินผลทั้งระหว่างและสรุปผล จุดเด่นของ ADDIE คือสามารถวนซ้ำเป็นรอบ (iterative cycles) ได้ ซึ่งสอดคล้องกับการพัฒนาซอฟต์แวร์สมัยใหม่</w:t>
      </w:r>
    </w:p>
    <w:p>
      <w:pPr>
        <w:spacing w:after="100" w:before="200"/>
        <w:jc w:val="left"/>
      </w:pPr>
      <w:r>
        <w:rPr>
          <w:rFonts w:ascii="TH Sarabun New" w:cs="TH Sarabun New" w:eastAsia="TH Sarabun New" w:hAnsi="TH Sarabun New"/>
          <w:b/>
          <w:bCs/>
          <w:sz w:val="34"/>
          <w:szCs w:val="34"/>
        </w:rPr>
        <w:t xml:space="preserve">(3) รูปแบบของกรมวิชาการ (2545)</w:t>
      </w:r>
    </w:p>
    <w:p>
      <w:pPr>
        <w:spacing w:after="80" w:before="0" w:line="360"/>
        <w:ind w:firstLine="720"/>
        <w:jc w:val="both"/>
      </w:pPr>
      <w:r>
        <w:rPr>
          <w:rFonts w:ascii="TH Sarabun New" w:cs="TH Sarabun New" w:eastAsia="TH Sarabun New" w:hAnsi="TH Sarabun New"/>
          <w:sz w:val="32"/>
          <w:szCs w:val="32"/>
        </w:rPr>
        <w:t xml:space="preserve">กรมวิชาการของกระทรวงศึกษาธิการได้เสนอรูปแบบ R&amp;D ที่ปรับให้เข้ากับบริบทไทยและวงรอบการประเมินวิทยฐานะ โดยจัดเป็น 4 ระยะเรียบง่ายแต่ครอบคลุม ได้แก่ ระยะที่ 1 ศึกษาข้อมูลพื้นฐานและความต้องการ ระยะที่ 2 พัฒนานวัตกรรม ระยะที่ 3 ทดลองใช้และเก็บข้อมูล และระยะที่ 4 ประเมินและปรับปรุง รูปแบบนี้ได้รับความนิยมในงานวิจัยของครูประจำการ เพราะสามารถดำเนินการได้ภายในหนึ่งภาคเรียนหรือหนึ่งปีการศึกษา และสอดคล้องกับเอกสารการประเมิน วPA โดยตรง</w:t>
      </w:r>
    </w:p>
    <w:p>
      <w:pPr>
        <w:spacing w:after="120" w:before="280"/>
        <w:jc w:val="left"/>
      </w:pPr>
      <w:r>
        <w:rPr>
          <w:rFonts w:ascii="TH Sarabun New" w:cs="TH Sarabun New" w:eastAsia="TH Sarabun New" w:hAnsi="TH Sarabun New"/>
          <w:b/>
          <w:bCs/>
          <w:sz w:val="36"/>
          <w:szCs w:val="36"/>
        </w:rPr>
        <w:t xml:space="preserve">2.2.3 รูปแบบที่ใช้ในงานวิจัยนี้</w:t>
      </w:r>
    </w:p>
    <w:p>
      <w:pPr>
        <w:spacing w:after="80" w:before="0" w:line="360"/>
        <w:ind w:firstLine="720"/>
        <w:jc w:val="both"/>
      </w:pPr>
      <w:r>
        <w:rPr>
          <w:rFonts w:ascii="TH Sarabun New" w:cs="TH Sarabun New" w:eastAsia="TH Sarabun New" w:hAnsi="TH Sarabun New"/>
          <w:sz w:val="32"/>
          <w:szCs w:val="32"/>
        </w:rPr>
        <w:t xml:space="preserve">หลังจากเปรียบเทียบทั้งสามรูปแบบแล้ว ผู้วิจัยตัดสินใจใช้รูปแบบ 4 ระยะของกรมวิชาการ (2545) เป็นโครงหลัก เนื่องจากมีระยะเวลาที่สอดคล้องกับภาคเรียนที่ 1 ปีการศึกษา 2569 และเอื้อต่อการรายงานผลตามเกณฑ์ วPA แต่ในขั้นพัฒนานวัตกรรมจริง ผู้วิจัยได้บูรณาการแนวคิด ADDIE และวงจรการพัฒนาซอฟต์แวร์แบบ iterative เข้ามาด้วย เพื่อให้สามารถปรับปรุง COSMOS LOG ได้ทุกครั้งที่ทดลองใช้ในแต่ละขั้น ทั้งนี้รายละเอียดของแต่ละระยะมีดังตารางที่ 2.3</w:t>
      </w:r>
    </w:p>
    <w:p>
      <w:pPr>
        <w:spacing w:after="100" w:before="200"/>
        <w:jc w:val="left"/>
      </w:pPr>
      <w:r>
        <w:rPr>
          <w:rFonts w:ascii="TH Sarabun New" w:cs="TH Sarabun New" w:eastAsia="TH Sarabun New" w:hAnsi="TH Sarabun New"/>
          <w:b/>
          <w:bCs/>
          <w:sz w:val="32"/>
          <w:szCs w:val="32"/>
        </w:rPr>
        <w:t xml:space="preserve">ตารางที่ 2.3  ระยะการวิจัยและพัฒนาในงานวิจัยนี้</w:t>
      </w:r>
    </w:p>
    <w:tbl>
      <w:tblPr>
        <w:tblW w:type="pct" w:w="100%"/>
        <w:tblBorders>
          <w:top w:val="single" w:color="888888" w:sz="4"/>
          <w:left w:val="single" w:color="888888" w:sz="4"/>
          <w:bottom w:val="single" w:color="888888" w:sz="4"/>
          <w:right w:val="single" w:color="888888" w:sz="4"/>
          <w:insideH w:val="single" w:color="888888" w:sz="4"/>
          <w:insideV w:val="single" w:color="888888" w:sz="4"/>
        </w:tblBorders>
      </w:tblPr>
      <w:tblGrid>
        <w:gridCol w:w="100"/>
        <w:gridCol w:w="100"/>
        <w:gridCol w:w="100"/>
      </w:tblGrid>
      <w:tr>
        <w:trPr>
          <w:tblHeader/>
        </w:trPr>
        <w:tc>
          <w:tcPr>
            <w:tcW w:type="pct" w:w="18%"/>
            <w:shd w:fill="D9E2F3" w:color="auto" w:val="clear"/>
          </w:tcPr>
          <w:p>
            <w:pPr>
              <w:spacing w:after="40" w:line="300"/>
              <w:jc w:val="left"/>
            </w:pPr>
            <w:r>
              <w:rPr>
                <w:rFonts w:ascii="TH Sarabun New" w:cs="TH Sarabun New" w:eastAsia="TH Sarabun New" w:hAnsi="TH Sarabun New"/>
                <w:b/>
                <w:bCs/>
                <w:sz w:val="30"/>
                <w:szCs w:val="30"/>
              </w:rPr>
              <w:t xml:space="preserve">ระยะ</w:t>
            </w:r>
          </w:p>
        </w:tc>
        <w:tc>
          <w:tcPr>
            <w:tcW w:type="pct" w:w="22%"/>
            <w:shd w:fill="D9E2F3" w:color="auto" w:val="clear"/>
          </w:tcPr>
          <w:p>
            <w:pPr>
              <w:spacing w:after="40" w:line="300"/>
              <w:jc w:val="left"/>
            </w:pPr>
            <w:r>
              <w:rPr>
                <w:rFonts w:ascii="TH Sarabun New" w:cs="TH Sarabun New" w:eastAsia="TH Sarabun New" w:hAnsi="TH Sarabun New"/>
                <w:b/>
                <w:bCs/>
                <w:sz w:val="30"/>
                <w:szCs w:val="30"/>
              </w:rPr>
              <w:t xml:space="preserve">วัตถุประสงค์</w:t>
            </w:r>
          </w:p>
        </w:tc>
        <w:tc>
          <w:tcPr>
            <w:tcW w:type="pct" w:w="60%"/>
            <w:shd w:fill="D9E2F3" w:color="auto" w:val="clear"/>
          </w:tcPr>
          <w:p>
            <w:pPr>
              <w:spacing w:after="40" w:line="300"/>
              <w:jc w:val="left"/>
            </w:pPr>
            <w:r>
              <w:rPr>
                <w:rFonts w:ascii="TH Sarabun New" w:cs="TH Sarabun New" w:eastAsia="TH Sarabun New" w:hAnsi="TH Sarabun New"/>
                <w:b/>
                <w:bCs/>
                <w:sz w:val="30"/>
                <w:szCs w:val="30"/>
              </w:rPr>
              <w:t xml:space="preserve">กิจกรรมหลัก</w:t>
            </w:r>
          </w:p>
        </w:tc>
      </w:tr>
      <w:tr>
        <w:trPr>
          <w:tblHeader w:val="false"/>
        </w:trPr>
        <w:tc>
          <w:tcPr>
            <w:tcW w:type="pct" w:w="18%"/>
          </w:tcPr>
          <w:p>
            <w:pPr>
              <w:spacing w:after="40" w:line="300"/>
              <w:jc w:val="left"/>
            </w:pPr>
            <w:r>
              <w:rPr>
                <w:rFonts w:ascii="TH Sarabun New" w:cs="TH Sarabun New" w:eastAsia="TH Sarabun New" w:hAnsi="TH Sarabun New"/>
                <w:b w:val="false"/>
                <w:bCs w:val="false"/>
                <w:sz w:val="30"/>
                <w:szCs w:val="30"/>
              </w:rPr>
              <w:t xml:space="preserve">R1: Analysis</w:t>
            </w:r>
          </w:p>
        </w:tc>
        <w:tc>
          <w:tcPr>
            <w:tcW w:type="pct" w:w="22%"/>
          </w:tcPr>
          <w:p>
            <w:pPr>
              <w:spacing w:after="40" w:line="300"/>
              <w:jc w:val="left"/>
            </w:pPr>
            <w:r>
              <w:rPr>
                <w:rFonts w:ascii="TH Sarabun New" w:cs="TH Sarabun New" w:eastAsia="TH Sarabun New" w:hAnsi="TH Sarabun New"/>
                <w:b w:val="false"/>
                <w:bCs w:val="false"/>
                <w:sz w:val="30"/>
                <w:szCs w:val="30"/>
              </w:rPr>
              <w:t xml:space="preserve">ศึกษาข้อมูลพื้นฐาน</w:t>
            </w:r>
          </w:p>
        </w:tc>
        <w:tc>
          <w:tcPr>
            <w:tcW w:type="pct" w:w="60%"/>
          </w:tcPr>
          <w:p>
            <w:pPr>
              <w:spacing w:after="40" w:line="300"/>
              <w:jc w:val="left"/>
            </w:pPr>
            <w:r>
              <w:rPr>
                <w:rFonts w:ascii="TH Sarabun New" w:cs="TH Sarabun New" w:eastAsia="TH Sarabun New" w:hAnsi="TH Sarabun New"/>
                <w:b w:val="false"/>
                <w:bCs w:val="false"/>
                <w:sz w:val="30"/>
                <w:szCs w:val="30"/>
              </w:rPr>
              <w:t xml:space="preserve">ทบทวนหลักสูตร · สำรวจปัญหาในห้องเรียน · ทบทวนวรรณกรรม · สำรวจ misconception</w:t>
            </w:r>
          </w:p>
        </w:tc>
      </w:tr>
      <w:tr>
        <w:trPr>
          <w:tblHeader w:val="false"/>
        </w:trPr>
        <w:tc>
          <w:tcPr>
            <w:tcW w:type="pct" w:w="18%"/>
          </w:tcPr>
          <w:p>
            <w:pPr>
              <w:spacing w:after="40" w:line="300"/>
              <w:jc w:val="left"/>
            </w:pPr>
            <w:r>
              <w:rPr>
                <w:rFonts w:ascii="TH Sarabun New" w:cs="TH Sarabun New" w:eastAsia="TH Sarabun New" w:hAnsi="TH Sarabun New"/>
                <w:b w:val="false"/>
                <w:bCs w:val="false"/>
                <w:sz w:val="30"/>
                <w:szCs w:val="30"/>
              </w:rPr>
              <w:t xml:space="preserve">R2: Design + Develop</w:t>
            </w:r>
          </w:p>
        </w:tc>
        <w:tc>
          <w:tcPr>
            <w:tcW w:type="pct" w:w="22%"/>
          </w:tcPr>
          <w:p>
            <w:pPr>
              <w:spacing w:after="40" w:line="300"/>
              <w:jc w:val="left"/>
            </w:pPr>
            <w:r>
              <w:rPr>
                <w:rFonts w:ascii="TH Sarabun New" w:cs="TH Sarabun New" w:eastAsia="TH Sarabun New" w:hAnsi="TH Sarabun New"/>
                <w:b w:val="false"/>
                <w:bCs w:val="false"/>
                <w:sz w:val="30"/>
                <w:szCs w:val="30"/>
              </w:rPr>
              <w:t xml:space="preserve">พัฒนานวัตกรรม</w:t>
            </w:r>
          </w:p>
        </w:tc>
        <w:tc>
          <w:tcPr>
            <w:tcW w:type="pct" w:w="60%"/>
          </w:tcPr>
          <w:p>
            <w:pPr>
              <w:spacing w:after="40" w:line="300"/>
              <w:jc w:val="left"/>
            </w:pPr>
            <w:r>
              <w:rPr>
                <w:rFonts w:ascii="TH Sarabun New" w:cs="TH Sarabun New" w:eastAsia="TH Sarabun New" w:hAnsi="TH Sarabun New"/>
                <w:b w:val="false"/>
                <w:bCs w:val="false"/>
                <w:sz w:val="30"/>
                <w:szCs w:val="30"/>
              </w:rPr>
              <w:t xml:space="preserve">ออกแบบรูปแบบ 4-องก์ · พัฒนา COSMOS LOG 8 EP · พัฒนาเครื่องมือวัด · ตรวจสอบ IOC ผู้เชี่ยวชาญ 5 ท่าน · ปรับปรุงตามข้อเสนอแนะ</w:t>
            </w:r>
          </w:p>
        </w:tc>
      </w:tr>
      <w:tr>
        <w:trPr>
          <w:tblHeader w:val="false"/>
        </w:trPr>
        <w:tc>
          <w:tcPr>
            <w:tcW w:type="pct" w:w="18%"/>
          </w:tcPr>
          <w:p>
            <w:pPr>
              <w:spacing w:after="40" w:line="300"/>
              <w:jc w:val="left"/>
            </w:pPr>
            <w:r>
              <w:rPr>
                <w:rFonts w:ascii="TH Sarabun New" w:cs="TH Sarabun New" w:eastAsia="TH Sarabun New" w:hAnsi="TH Sarabun New"/>
                <w:b w:val="false"/>
                <w:bCs w:val="false"/>
                <w:sz w:val="30"/>
                <w:szCs w:val="30"/>
              </w:rPr>
              <w:t xml:space="preserve">R3: Implementation</w:t>
            </w:r>
          </w:p>
        </w:tc>
        <w:tc>
          <w:tcPr>
            <w:tcW w:type="pct" w:w="22%"/>
          </w:tcPr>
          <w:p>
            <w:pPr>
              <w:spacing w:after="40" w:line="300"/>
              <w:jc w:val="left"/>
            </w:pPr>
            <w:r>
              <w:rPr>
                <w:rFonts w:ascii="TH Sarabun New" w:cs="TH Sarabun New" w:eastAsia="TH Sarabun New" w:hAnsi="TH Sarabun New"/>
                <w:b w:val="false"/>
                <w:bCs w:val="false"/>
                <w:sz w:val="30"/>
                <w:szCs w:val="30"/>
              </w:rPr>
              <w:t xml:space="preserve">ทดลองใช้</w:t>
            </w:r>
          </w:p>
        </w:tc>
        <w:tc>
          <w:tcPr>
            <w:tcW w:type="pct" w:w="60%"/>
          </w:tcPr>
          <w:p>
            <w:pPr>
              <w:spacing w:after="40" w:line="300"/>
              <w:jc w:val="left"/>
            </w:pPr>
            <w:r>
              <w:rPr>
                <w:rFonts w:ascii="TH Sarabun New" w:cs="TH Sarabun New" w:eastAsia="TH Sarabun New" w:hAnsi="TH Sarabun New"/>
                <w:b w:val="false"/>
                <w:bCs w:val="false"/>
                <w:sz w:val="30"/>
                <w:szCs w:val="30"/>
              </w:rPr>
              <w:t xml:space="preserve">Try-out 1:1 (3 คน) · Small group (9 คน) · Field-test (90 คน) · เก็บคะแนน Pre/Post · IMI · ความพึงพอใจ</w:t>
            </w:r>
          </w:p>
        </w:tc>
      </w:tr>
      <w:tr>
        <w:trPr>
          <w:tblHeader w:val="false"/>
        </w:trPr>
        <w:tc>
          <w:tcPr>
            <w:tcW w:type="pct" w:w="18%"/>
          </w:tcPr>
          <w:p>
            <w:pPr>
              <w:spacing w:after="40" w:line="300"/>
              <w:jc w:val="left"/>
            </w:pPr>
            <w:r>
              <w:rPr>
                <w:rFonts w:ascii="TH Sarabun New" w:cs="TH Sarabun New" w:eastAsia="TH Sarabun New" w:hAnsi="TH Sarabun New"/>
                <w:b w:val="false"/>
                <w:bCs w:val="false"/>
                <w:sz w:val="30"/>
                <w:szCs w:val="30"/>
              </w:rPr>
              <w:t xml:space="preserve">R4: Evaluation</w:t>
            </w:r>
          </w:p>
        </w:tc>
        <w:tc>
          <w:tcPr>
            <w:tcW w:type="pct" w:w="22%"/>
          </w:tcPr>
          <w:p>
            <w:pPr>
              <w:spacing w:after="40" w:line="300"/>
              <w:jc w:val="left"/>
            </w:pPr>
            <w:r>
              <w:rPr>
                <w:rFonts w:ascii="TH Sarabun New" w:cs="TH Sarabun New" w:eastAsia="TH Sarabun New" w:hAnsi="TH Sarabun New"/>
                <w:b w:val="false"/>
                <w:bCs w:val="false"/>
                <w:sz w:val="30"/>
                <w:szCs w:val="30"/>
              </w:rPr>
              <w:t xml:space="preserve">ประเมินและปรับปรุง</w:t>
            </w:r>
          </w:p>
        </w:tc>
        <w:tc>
          <w:tcPr>
            <w:tcW w:type="pct" w:w="60%"/>
          </w:tcPr>
          <w:p>
            <w:pPr>
              <w:spacing w:after="40" w:line="300"/>
              <w:jc w:val="left"/>
            </w:pPr>
            <w:r>
              <w:rPr>
                <w:rFonts w:ascii="TH Sarabun New" w:cs="TH Sarabun New" w:eastAsia="TH Sarabun New" w:hAnsi="TH Sarabun New"/>
                <w:b w:val="false"/>
                <w:bCs w:val="false"/>
                <w:sz w:val="30"/>
                <w:szCs w:val="30"/>
              </w:rPr>
              <w:t xml:space="preserve">วิเคราะห์ E1/E2 · paired t-test · IMI ≥ 3.51 · Satisfaction ≥ 3.51 · สัมภาษณ์เชิงคุณภาพ 9 คน · เผยแพร่</w:t>
            </w:r>
          </w:p>
        </w:tc>
      </w:tr>
    </w:tbl>
    <w:p>
      <w:pPr>
        <w:spacing w:after="80" w:before="0" w:line="360"/>
        <w:ind w:firstLine="720"/>
        <w:jc w:val="both"/>
      </w:pPr>
      <w:r>
        <w:rPr>
          <w:rFonts w:ascii="TH Sarabun New" w:cs="TH Sarabun New" w:eastAsia="TH Sarabun New" w:hAnsi="TH Sarabun New"/>
          <w:sz w:val="32"/>
          <w:szCs w:val="32"/>
        </w:rPr>
        <w:t xml:space="preserve">การจัดเรียงระยะแบบนี้ทำให้ผลลัพธ์ของระยะหนึ่ง (เช่น ผล IOC ในระยะ R2) กลายเป็นข้อมูลนำเข้าสู่การปรับปรุงในระยะถัดไป (เช่น การแก้ไข COSMOS LOG ก่อนนำไปใช้ในระยะ R3) ซึ่งเป็นหัวใจของแนวคิด iterative ที่นำมาจาก ADDIE และทำให้นวัตกรรมที่ได้มีคุณภาพสูงขึ้นในแต่ละรอบของการพัฒนา</w:t>
      </w:r>
    </w:p>
    <w:p>
      <w:pPr>
        <w:spacing w:after="160" w:before="360"/>
        <w:jc w:val="left"/>
      </w:pPr>
      <w:r>
        <w:rPr>
          <w:rFonts w:ascii="TH Sarabun New" w:cs="TH Sarabun New" w:eastAsia="TH Sarabun New" w:hAnsi="TH Sarabun New"/>
          <w:b/>
          <w:bCs/>
          <w:sz w:val="40"/>
          <w:szCs w:val="40"/>
        </w:rPr>
        <w:t xml:space="preserve">2.3  แผนการจัดการเรียนรู้</w:t>
      </w:r>
    </w:p>
    <w:p>
      <w:pPr>
        <w:spacing w:after="80" w:before="0" w:line="360"/>
        <w:ind w:firstLine="720"/>
        <w:jc w:val="both"/>
      </w:pPr>
      <w:r>
        <w:rPr>
          <w:rFonts w:ascii="TH Sarabun New" w:cs="TH Sarabun New" w:eastAsia="TH Sarabun New" w:hAnsi="TH Sarabun New"/>
          <w:sz w:val="32"/>
          <w:szCs w:val="32"/>
        </w:rPr>
        <w:t xml:space="preserve">หากการวิจัยและพัฒนาเปรียบเสมือน "พิมพ์เขียวระดับโครงการ" ของการสร้างนวัตกรรม แผนการจัดการเรียนรู้ก็คือ "พิมพ์เขียวระดับชั่วโมง" ที่ครูใช้ในการดำเนินการสอนจริงในห้องเรียน ความเชื่อมโยงระหว่างทั้งสองคือ ผลของการวิจัยและพัฒนาในระยะ R2 จะปรากฏเป็นแผนการจัดการเรียนรู้ที่มีคุณภาพและพร้อมใช้งานในระยะ R3 ในส่วนนี้ผู้วิจัยจะทบทวนความหมาย ความสำคัญ ขั้นตอนการจัดทำ องค์ประกอบ และเกณฑ์ประสิทธิภาพ E1/E2 ที่ใช้ตรวจสอบคุณภาพของแผน</w:t>
      </w:r>
    </w:p>
    <w:p>
      <w:pPr>
        <w:spacing w:after="120" w:before="280"/>
        <w:jc w:val="left"/>
      </w:pPr>
      <w:r>
        <w:rPr>
          <w:rFonts w:ascii="TH Sarabun New" w:cs="TH Sarabun New" w:eastAsia="TH Sarabun New" w:hAnsi="TH Sarabun New"/>
          <w:b/>
          <w:bCs/>
          <w:sz w:val="36"/>
          <w:szCs w:val="36"/>
        </w:rPr>
        <w:t xml:space="preserve">2.3.1 ความหมายของแผนการจัดการเรียนรู้</w:t>
      </w:r>
    </w:p>
    <w:p>
      <w:pPr>
        <w:spacing w:after="80" w:before="0" w:line="360"/>
        <w:ind w:firstLine="720"/>
        <w:jc w:val="both"/>
      </w:pPr>
      <w:r>
        <w:rPr>
          <w:rFonts w:ascii="TH Sarabun New" w:cs="TH Sarabun New" w:eastAsia="TH Sarabun New" w:hAnsi="TH Sarabun New"/>
          <w:sz w:val="32"/>
          <w:szCs w:val="32"/>
        </w:rPr>
        <w:t xml:space="preserve">สำนักงานคณะกรรมการการศึกษาขั้นพื้นฐาน (2562) นิยามแผนการจัดการเรียนรู้ว่า เป็นเอกสารที่ครูจัดทำขึ้นเพื่อใช้เป็นแนวทางในการจัดกิจกรรมการเรียนการสอนให้แก่ผู้เรียน โดยมีองค์ประกอบสำคัญ ได้แก่ จุดประสงค์การเรียนรู้ สาระการเรียนรู้ กิจกรรม สื่อ การวัดและประเมินผล และบันทึกหลังสอน ขณะที่ ทิศนา แขมมณี (2562) สรุปอย่างกระชับและเห็นภาพว่า แผนการจัดการเรียนรู้คือ "พิมพ์เขียว (blueprint) ของการจัดการเรียนรู้" ที่ครูใช้นำทางการสอน เพื่อให้สามารถจัดกิจกรรมได้ตามลำดับ มีเป้าหมายชัดเจน ใช้สื่อและวิธีการที่เหมาะสม และวัดผลสัมฤทธิ์ตามที่กำหนด การเปรียบเทียบกับ "พิมพ์เขียว" ของสถาปนิกนี้ชี้ให้เห็นว่า แผนที่ดีต้องมีรายละเอียดมากพอให้คนอื่น (รวมทั้งครูคนเดียวกันในอนาคต) สามารถ "สร้างห้องเรียน" ขึ้นมาใหม่ตามแบบได้</w:t>
      </w:r>
    </w:p>
    <w:p>
      <w:pPr>
        <w:spacing w:after="120" w:before="280"/>
        <w:jc w:val="left"/>
      </w:pPr>
      <w:r>
        <w:rPr>
          <w:rFonts w:ascii="TH Sarabun New" w:cs="TH Sarabun New" w:eastAsia="TH Sarabun New" w:hAnsi="TH Sarabun New"/>
          <w:b/>
          <w:bCs/>
          <w:sz w:val="36"/>
          <w:szCs w:val="36"/>
        </w:rPr>
        <w:t xml:space="preserve">2.3.2 ความสำคัญของแผนการจัดการเรียนรู้</w:t>
      </w:r>
    </w:p>
    <w:p>
      <w:pPr>
        <w:spacing w:after="80" w:before="0" w:line="360"/>
        <w:ind w:firstLine="720"/>
        <w:jc w:val="both"/>
      </w:pPr>
      <w:r>
        <w:rPr>
          <w:rFonts w:ascii="TH Sarabun New" w:cs="TH Sarabun New" w:eastAsia="TH Sarabun New" w:hAnsi="TH Sarabun New"/>
          <w:sz w:val="32"/>
          <w:szCs w:val="32"/>
        </w:rPr>
        <w:t xml:space="preserve">แผนการจัดการเรียนรู้มีความสำคัญต่อการจัดการศึกษาในหลายมิติ ไม่ใช่เพียงเป็น "เอกสารส่ง" แต่เป็นเครื่องมือเชิงปฏิบัติของครูทุกคน ผู้วิจัยสรุปไว้ 5 ประการสำคัญ ดังนี้</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เป็นเครื่องมือช่วยให้ครูสอนได้ตรงตามตัวชี้วัดและมาตรฐานการเรียนรู้ ลดโอกาสที่ครูจะ "หลงทาง" ระหว่างการบรรยาย</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ช่วยให้ครูเตรียมสื่อ กิจกรรม และเครื่องมือวัดประเมินผลล่วงหน้า ทำให้ห้องเรียนไหลลื่น</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ช่วยให้การจัดการเรียนรู้มีลำดับและความต่อเนื่อง โดยเฉพาะในรายวิชาที่ใช้แนวคิด narrative arc อย่าง COSMOS LOG</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เป็นหลักฐานเชิงประจักษ์ในการประเมินวิทยฐานะของครูตามเกณฑ์ วPA และ ก.ค.ศ.</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เป็นต้นแบบที่ครูคนอื่นสามารถนำไปประยุกต์ใช้ได้ ทำให้นวัตกรรมขยายผลออกจากห้องเรียนเดียวได้</w:t>
      </w:r>
    </w:p>
    <w:p>
      <w:pPr>
        <w:spacing w:after="120" w:before="280"/>
        <w:jc w:val="left"/>
      </w:pPr>
      <w:r>
        <w:rPr>
          <w:rFonts w:ascii="TH Sarabun New" w:cs="TH Sarabun New" w:eastAsia="TH Sarabun New" w:hAnsi="TH Sarabun New"/>
          <w:b/>
          <w:bCs/>
          <w:sz w:val="36"/>
          <w:szCs w:val="36"/>
        </w:rPr>
        <w:t xml:space="preserve">2.3.3 ขั้นตอนการจัดทำแผนการจัดการเรียนรู้</w:t>
      </w:r>
    </w:p>
    <w:p>
      <w:pPr>
        <w:spacing w:after="80" w:before="0" w:line="360"/>
        <w:ind w:firstLine="720"/>
        <w:jc w:val="both"/>
      </w:pPr>
      <w:r>
        <w:rPr>
          <w:rFonts w:ascii="TH Sarabun New" w:cs="TH Sarabun New" w:eastAsia="TH Sarabun New" w:hAnsi="TH Sarabun New"/>
          <w:sz w:val="32"/>
          <w:szCs w:val="32"/>
        </w:rPr>
        <w:t xml:space="preserve">กรมวิชาการ (2546) เสนอขั้นตอนการจัดทำแผนการจัดการเรียนรู้ 7 ขั้นตอน ที่เริ่มจากการเข้าใจ "ว่าจะสอนใคร เพื่ออะไร" ก่อนจึงค่อยเข้าสู่ "สอนอย่างไร" ดังนี้ (1) ศึกษาหลักสูตรและตัวชี้วัด (2) วิเคราะห์ผู้เรียน (3) กำหนดจุดประสงค์การเรียนรู้ (4) วิเคราะห์เนื้อหาและจัดลำดับ (5) ออกแบบกิจกรรมและสื่อ (6) ออกแบบการวัดและประเมินผล และ (7) เขียนแผนและตรวจสอบ ผู้วิจัยได้ใช้ขั้นตอนนี้เป็นกรอบในการพัฒนาแผนการสอนทั้ง 8 EP ของ COSMOS LOG โดยเฉพาะในขั้นที่ 2 (วิเคราะห์ผู้เรียน) ผู้วิจัยได้วิเคราะห์มโนทัศน์เดิมและมโนทัศน์ที่คลาดเคลื่อนของนักเรียน ม.5 ก่อนกำหนดจุดประสงค์ในขั้นที่ 3 ทำให้แต่ละ EP มีเป้าหมายที่ "เจาะ" ปัญหาเฉพาะ ไม่ใช่เพียงสอนเนื้อหาตามตำรา</w:t>
      </w:r>
    </w:p>
    <w:p>
      <w:pPr>
        <w:spacing w:after="120" w:before="280"/>
        <w:jc w:val="left"/>
      </w:pPr>
      <w:r>
        <w:rPr>
          <w:rFonts w:ascii="TH Sarabun New" w:cs="TH Sarabun New" w:eastAsia="TH Sarabun New" w:hAnsi="TH Sarabun New"/>
          <w:b/>
          <w:bCs/>
          <w:sz w:val="36"/>
          <w:szCs w:val="36"/>
        </w:rPr>
        <w:t xml:space="preserve">2.3.4 องค์ประกอบของแผนการจัดการเรียนรู้</w:t>
      </w:r>
    </w:p>
    <w:p>
      <w:pPr>
        <w:spacing w:after="80" w:before="0" w:line="360"/>
        <w:ind w:firstLine="720"/>
        <w:jc w:val="both"/>
      </w:pPr>
      <w:r>
        <w:rPr>
          <w:rFonts w:ascii="TH Sarabun New" w:cs="TH Sarabun New" w:eastAsia="TH Sarabun New" w:hAnsi="TH Sarabun New"/>
          <w:sz w:val="32"/>
          <w:szCs w:val="32"/>
        </w:rPr>
        <w:t xml:space="preserve">ตามแนวทางของ สพฐ. (2562) แผนการจัดการเรียนรู้ที่สมบูรณ์ประกอบด้วยองค์ประกอบ 10 ประการ ได้แก่ (1) ข้อมูลพื้นฐาน (กลุ่มสาระ · รายวิชา · ระดับชั้น · เวลา) (2) มาตรฐาน/ตัวชี้วัด (3) สาระสำคัญ (4) จุดประสงค์การเรียนรู้แบบ K-P-A (Knowledge–Process–Attitude) (5) สมรรถนะสำคัญและคุณลักษณะอันพึงประสงค์ (6) สาระการเรียนรู้ (7) กิจกรรมการเรียนรู้ (8) สื่อ/แหล่งเรียนรู้ (9) การวัดและประเมินผล และ (10) บันทึกหลังสอน องค์ประกอบทั้ง 10 นี้ถูกบรรจุไว้ในแผนการสอน 8 EP ของ COSMOS LOG อย่างครบถ้วน โดยผู้วิจัยได้เพิ่มส่วน "Mission Brief" และ "Boss Fight" เข้าไปในกิจกรรมการเรียนรู้ (องค์ประกอบที่ 7) เพื่อให้เห็นโครงสร้างเฉพาะของรูปแบบ 4-องก์ที่จะอธิบายในส่วน 2.9</w:t>
      </w:r>
    </w:p>
    <w:p>
      <w:pPr>
        <w:spacing w:after="120" w:before="280"/>
        <w:jc w:val="left"/>
      </w:pPr>
      <w:r>
        <w:rPr>
          <w:rFonts w:ascii="TH Sarabun New" w:cs="TH Sarabun New" w:eastAsia="TH Sarabun New" w:hAnsi="TH Sarabun New"/>
          <w:b/>
          <w:bCs/>
          <w:sz w:val="36"/>
          <w:szCs w:val="36"/>
        </w:rPr>
        <w:t xml:space="preserve">2.3.5 ประสิทธิภาพของแผนการจัดการเรียนรู้ (E1/E2)</w:t>
      </w:r>
    </w:p>
    <w:p>
      <w:pPr>
        <w:spacing w:after="80" w:before="0" w:line="360"/>
        <w:ind w:firstLine="720"/>
        <w:jc w:val="both"/>
      </w:pPr>
      <w:r>
        <w:rPr>
          <w:rFonts w:ascii="TH Sarabun New" w:cs="TH Sarabun New" w:eastAsia="TH Sarabun New" w:hAnsi="TH Sarabun New"/>
          <w:sz w:val="32"/>
          <w:szCs w:val="32"/>
        </w:rPr>
        <w:t xml:space="preserve">การประเมินประสิทธิภาพของแผนการจัดการเรียนรู้และสื่อนวัตกรรมในประเทศไทย นิยมใช้เกณฑ์ E1/E2 ที่เสนอโดย ชัยยงค์ พรหมวงศ์ (2556) ซึ่งเป็นนักวิชาการด้านเทคโนโลยีการศึกษาที่บุกเบิกระบบการประเมินสื่อในประเทศไทยมาตั้งแต่ทศวรรษ 2520 ค่า E1/E2 มีนิยามดังนี้</w:t>
      </w:r>
    </w:p>
    <w:p>
      <w:pPr>
        <w:spacing w:after="80" w:before="0" w:line="360"/>
        <w:ind w:firstLine="720"/>
        <w:jc w:val="both"/>
      </w:pPr>
      <w:r>
        <w:rPr>
          <w:rFonts w:ascii="TH Sarabun New" w:cs="TH Sarabun New" w:eastAsia="TH Sarabun New" w:hAnsi="TH Sarabun New"/>
          <w:b/>
          <w:bCs/>
          <w:sz w:val="32"/>
          <w:szCs w:val="32"/>
        </w:rPr>
        <w:t xml:space="preserve">E1 (Process Efficiency)  </w:t>
      </w:r>
      <w:r>
        <w:rPr>
          <w:rFonts w:ascii="TH Sarabun New" w:cs="TH Sarabun New" w:eastAsia="TH Sarabun New" w:hAnsi="TH Sarabun New"/>
          <w:sz w:val="32"/>
          <w:szCs w:val="32"/>
        </w:rPr>
        <w:t xml:space="preserve">= (ผลรวมคะแนนระหว่างเรียน × 100) / (จำนวนนักเรียน × คะแนนเต็ม)</w:t>
      </w:r>
    </w:p>
    <w:p>
      <w:pPr>
        <w:spacing w:after="80" w:before="0" w:line="360"/>
        <w:ind w:firstLine="720"/>
        <w:jc w:val="both"/>
      </w:pPr>
      <w:r>
        <w:rPr>
          <w:rFonts w:ascii="TH Sarabun New" w:cs="TH Sarabun New" w:eastAsia="TH Sarabun New" w:hAnsi="TH Sarabun New"/>
          <w:b/>
          <w:bCs/>
          <w:sz w:val="32"/>
          <w:szCs w:val="32"/>
        </w:rPr>
        <w:t xml:space="preserve">E2 (Product Efficiency)  </w:t>
      </w:r>
      <w:r>
        <w:rPr>
          <w:rFonts w:ascii="TH Sarabun New" w:cs="TH Sarabun New" w:eastAsia="TH Sarabun New" w:hAnsi="TH Sarabun New"/>
          <w:sz w:val="32"/>
          <w:szCs w:val="32"/>
        </w:rPr>
        <w:t xml:space="preserve">= (ผลรวมคะแนนทดสอบหลังเรียน × 100) / (จำนวนนักเรียน × คะแนนเต็ม)</w:t>
      </w:r>
    </w:p>
    <w:p>
      <w:pPr>
        <w:spacing w:after="80" w:before="0" w:line="360"/>
        <w:ind w:firstLine="720"/>
        <w:jc w:val="both"/>
      </w:pPr>
      <w:r>
        <w:rPr>
          <w:rFonts w:ascii="TH Sarabun New" w:cs="TH Sarabun New" w:eastAsia="TH Sarabun New" w:hAnsi="TH Sarabun New"/>
          <w:sz w:val="32"/>
          <w:szCs w:val="32"/>
        </w:rPr>
        <w:t xml:space="preserve">แนวคิดเบื้องหลัง E1/E2 คือ การประเมินสื่อ/แผนต้องดูทั้ง "กระบวนการ" (สิ่งที่นักเรียนทำได้ระหว่างเรียน เช่น คะแนนใบงาน คะแนนกิจกรรมรายคาบ) และ "ผลผลิต" (สิ่งที่นักเรียนทำได้เมื่อจบบทเรียน เช่น คะแนน posttest) เกณฑ์การยอมรับขึ้นอยู่กับลักษณะของเนื้อหา โดย ชัยยงค์ พรหมวงศ์ (2556) เสนอเกณฑ์ 3 ระดับ ได้แก่ 80/80 สำหรับเนื้อหาสาระความรู้ทั่วไป 75/75 สำหรับเนื้อหาที่เป็นทักษะหรือเจตคติ และ 90/90 สำหรับเนื้อหาที่เน้นความถูกต้องสูง เช่น คณิตศาสตร์เบื้องต้น</w:t>
      </w:r>
    </w:p>
    <w:p>
      <w:pPr>
        <w:spacing w:after="80" w:before="0" w:line="360"/>
        <w:ind w:firstLine="720"/>
        <w:jc w:val="both"/>
      </w:pPr>
      <w:r>
        <w:rPr>
          <w:rFonts w:ascii="TH Sarabun New" w:cs="TH Sarabun New" w:eastAsia="TH Sarabun New" w:hAnsi="TH Sarabun New"/>
          <w:sz w:val="32"/>
          <w:szCs w:val="32"/>
        </w:rPr>
        <w:t xml:space="preserve">งานวิจัยนี้ใช้เกณฑ์ 80/80 ซึ่งเหมาะสมกับลักษณะเนื้อหาวิทยาศาสตร์โลกและอวกาศที่เป็นความรู้เชิงสาระและการประยุกต์ใช้ในระดับมัธยมศึกษาตอนปลาย สอดคล้องกับงานวิจัยของ ชนาธิป พรกุล (2562) ที่ใช้เกณฑ์เดียวกันในรายวิชาวิทยาศาสตร์โลกและอวกาศ และพบประสิทธิภาพ 82.5/81.0 ซึ่งสะท้อนว่าเกณฑ์ 80/80 เป็นเกณฑ์ที่บรรลุได้จริงในเนื้อหาประเภทนี้</w:t>
      </w:r>
    </w:p>
    <w:p>
      <w:pPr>
        <w:spacing w:after="80" w:before="0" w:line="360"/>
        <w:ind w:firstLine="720"/>
        <w:jc w:val="both"/>
      </w:pPr>
      <w:r>
        <w:rPr>
          <w:rFonts w:ascii="TH Sarabun New" w:cs="TH Sarabun New" w:eastAsia="TH Sarabun New" w:hAnsi="TH Sarabun New"/>
          <w:b/>
          <w:bCs/>
          <w:color w:val="C00000"/>
          <w:sz w:val="32"/>
          <w:szCs w:val="32"/>
        </w:rPr>
        <w:t xml:space="preserve">📝 หมายเหตุผู้วิจัย:  </w:t>
      </w:r>
      <w:r>
        <w:rPr>
          <w:rFonts w:ascii="TH Sarabun New" w:cs="TH Sarabun New" w:eastAsia="TH Sarabun New" w:hAnsi="TH Sarabun New"/>
          <w:color w:val="C00000"/>
          <w:sz w:val="32"/>
          <w:szCs w:val="32"/>
        </w:rPr>
        <w:t xml:space="preserve">ในรายงานบทที่ 4 ผู้วิจัยจะรายงานค่า E1/E2 ที่ได้จริงจากการทดลองใช้ทั้ง 8 EP เพื่อยืนยันสมมติฐานข้อที่ 1 — และในกรณีที่ EP ใดมีค่า E1/E2 ต่ำกว่าเกณฑ์ ผู้วิจัยจะวิเคราะห์สาเหตุและเสนอแนวทางการปรับปรุงต่อไป</w:t>
      </w:r>
    </w:p>
    <w:p>
      <w:pPr>
        <w:spacing w:after="160" w:before="360"/>
        <w:jc w:val="left"/>
      </w:pPr>
      <w:r>
        <w:rPr>
          <w:rFonts w:ascii="TH Sarabun New" w:cs="TH Sarabun New" w:eastAsia="TH Sarabun New" w:hAnsi="TH Sarabun New"/>
          <w:b/>
          <w:bCs/>
          <w:sz w:val="40"/>
          <w:szCs w:val="40"/>
        </w:rPr>
        <w:t xml:space="preserve">2.4  แนวคิดการเรียนรู้เชิงรุก (Active Learning)</w:t>
      </w:r>
    </w:p>
    <w:p>
      <w:pPr>
        <w:spacing w:after="80" w:before="0" w:line="360"/>
        <w:ind w:firstLine="720"/>
        <w:jc w:val="both"/>
      </w:pPr>
      <w:r>
        <w:rPr>
          <w:rFonts w:ascii="TH Sarabun New" w:cs="TH Sarabun New" w:eastAsia="TH Sarabun New" w:hAnsi="TH Sarabun New"/>
          <w:sz w:val="32"/>
          <w:szCs w:val="32"/>
        </w:rPr>
        <w:t xml:space="preserve">การจะออกแบบกิจกรรมในแต่ละแผนการจัดการเรียนรู้ได้อย่างมีคุณภาพ ครูต้องมีฐานทฤษฎีการเรียนรู้ที่ชัดเจน ผู้วิจัยเลือกใช้ "การเรียนรู้เชิงรุก (Active Learning)" เป็นทฤษฎีหลักในการออกแบบกิจกรรม เนื่องจากเป็นแนวคิดที่มีหลักฐานเชิงประจักษ์รองรับมากที่สุดในวงการการศึกษาวิทยาศาสตร์ และสอดคล้องอย่างใกล้ชิดกับลักษณะเฉพาะของรายวิชา ว 30105 ที่ระบุไว้ในส่วน 2.1.4 โดยเฉพาะการที่เนื้อหา "นามธรรมสูง" และ "ผู้เรียนรับรู้ว่าน่าเบื่อ"</w:t>
      </w:r>
    </w:p>
    <w:p>
      <w:pPr>
        <w:spacing w:after="120" w:before="280"/>
        <w:jc w:val="left"/>
      </w:pPr>
      <w:r>
        <w:rPr>
          <w:rFonts w:ascii="TH Sarabun New" w:cs="TH Sarabun New" w:eastAsia="TH Sarabun New" w:hAnsi="TH Sarabun New"/>
          <w:b/>
          <w:bCs/>
          <w:sz w:val="36"/>
          <w:szCs w:val="36"/>
        </w:rPr>
        <w:t xml:space="preserve">2.4.1 ความหมายของการเรียนรู้เชิงรุก</w:t>
      </w:r>
    </w:p>
    <w:p>
      <w:pPr>
        <w:spacing w:after="80" w:before="0" w:line="360"/>
        <w:ind w:firstLine="720"/>
        <w:jc w:val="both"/>
      </w:pPr>
      <w:r>
        <w:rPr>
          <w:rFonts w:ascii="TH Sarabun New" w:cs="TH Sarabun New" w:eastAsia="TH Sarabun New" w:hAnsi="TH Sarabun New"/>
          <w:sz w:val="32"/>
          <w:szCs w:val="32"/>
        </w:rPr>
        <w:t xml:space="preserve">คำว่า "Active Learning" ได้รับการยอมรับอย่างกว้างขวางในวงการอุดมศึกษาเมื่อ Bonwell และ Eison (1991) เผยแพร่รายงาน Active Learning: Creating Excitement in the Classroom ที่นิยามไว้ว่า การเรียนรู้เชิงรุกคือ "กิจกรรมการเรียนการสอนที่ผู้เรียนมีส่วนร่วมในการเรียนรู้ผ่านการคิด การพูด การเขียน หรือการลงมือปฏิบัติ ไม่ใช่เป็นผู้รับสารโดยปราศจากการมีส่วนร่วม" โดยให้ความสำคัญกับการคิดในระดับที่สูงกว่าการจำตาม Bloom's Taxonomy</w:t>
      </w:r>
    </w:p>
    <w:p>
      <w:pPr>
        <w:spacing w:after="80" w:before="0" w:line="360"/>
        <w:ind w:firstLine="720"/>
        <w:jc w:val="both"/>
      </w:pPr>
      <w:r>
        <w:rPr>
          <w:rFonts w:ascii="TH Sarabun New" w:cs="TH Sarabun New" w:eastAsia="TH Sarabun New" w:hAnsi="TH Sarabun New"/>
          <w:sz w:val="32"/>
          <w:szCs w:val="32"/>
        </w:rPr>
        <w:t xml:space="preserve">สิบสามปีต่อมา Prince (2004) ได้ตีพิมพ์บทความ Does Active Learning Work? A Review of the Research ใน Journal of Engineering Education ซึ่งกลายเป็นบทความที่ถูกอ้างอิงมากที่สุดเรื่องหนึ่งในวงการ Prince ขยายความหมายว่า การเรียนรู้เชิงรุกคือ "วิธีการสอนใด ๆ ที่ทำให้ผู้เรียนมีบทบาทในกระบวนการเรียนรู้ของตน" รวมถึง collaborative learning, cooperative learning, problem-based learning, inquiry-based learning และ case-based learning ต่อมา Felder และ Brent (2009) เน้นย้ำว่ากิจกรรมต้อง "engage the brain" ของผู้เรียน ไม่ใช่เพียงการเคลื่อนไหวร่างกาย ดังคำกล่าวที่กลายเป็นคำคมในวงการ</w:t>
      </w:r>
    </w:p>
    <w:p>
      <w:pPr>
        <w:spacing w:after="120" w:before="120" w:line="320"/>
        <w:ind w:left="720" w:right="720"/>
        <w:jc w:val="both"/>
      </w:pPr>
      <w:r>
        <w:rPr>
          <w:rFonts w:ascii="TH Sarabun New" w:cs="TH Sarabun New" w:eastAsia="TH Sarabun New" w:hAnsi="TH Sarabun New"/>
          <w:i/>
          <w:iCs/>
          <w:sz w:val="32"/>
          <w:szCs w:val="32"/>
        </w:rPr>
        <w:t xml:space="preserve">"Active learning is anything course-related that all students in a class session are called upon to do other than simply watching, listening and taking notes."</w:t>
      </w:r>
      <w:r>
        <w:rPr>
          <w:rFonts w:ascii="TH Sarabun New" w:cs="TH Sarabun New" w:eastAsia="TH Sarabun New" w:hAnsi="TH Sarabun New"/>
          <w:color w:val="595959"/>
          <w:sz w:val="30"/>
          <w:szCs w:val="30"/>
        </w:rPr>
        <w:t xml:space="preserve">  — Felder &amp; Brent, 2009</w:t>
      </w:r>
    </w:p>
    <w:p>
      <w:pPr>
        <w:spacing w:after="120" w:before="280"/>
        <w:jc w:val="left"/>
      </w:pPr>
      <w:r>
        <w:rPr>
          <w:rFonts w:ascii="TH Sarabun New" w:cs="TH Sarabun New" w:eastAsia="TH Sarabun New" w:hAnsi="TH Sarabun New"/>
          <w:b/>
          <w:bCs/>
          <w:sz w:val="36"/>
          <w:szCs w:val="36"/>
        </w:rPr>
        <w:t xml:space="preserve">2.4.2 หลักการของการเรียนรู้เชิงรุก</w:t>
      </w:r>
    </w:p>
    <w:p>
      <w:pPr>
        <w:spacing w:after="80" w:before="0" w:line="360"/>
        <w:ind w:firstLine="720"/>
        <w:jc w:val="both"/>
      </w:pPr>
      <w:r>
        <w:rPr>
          <w:rFonts w:ascii="TH Sarabun New" w:cs="TH Sarabun New" w:eastAsia="TH Sarabun New" w:hAnsi="TH Sarabun New"/>
          <w:sz w:val="32"/>
          <w:szCs w:val="32"/>
        </w:rPr>
        <w:t xml:space="preserve">Bonwell และ Eison (1991) เสนอหลักการพื้นฐาน 5 ประการ ของการเรียนรู้เชิงรุก ซึ่งเป็นกรอบที่ผู้วิจัยใช้ตรวจสอบทุกกิจกรรมใน COSMOS LOG ได้แก่</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ผู้เรียนมีส่วนร่วมมากกว่าการรับฟังเพียงอย่างเดียว</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เน้นทักษะการคิดระดับสูง (analysis, synthesis, evaluation)</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ผู้เรียนได้สำรวจค่านิยม เจตคติ และความเชื่อของตนเอง</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เน้นการสะท้อนคิดและการวิเคราะห์เกี่ยวกับสิ่งที่ทำ (reflection)</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ผู้เรียนมีปฏิสัมพันธ์กับเพื่อนและครู (interaction)</w:t>
      </w:r>
    </w:p>
    <w:p>
      <w:pPr>
        <w:spacing w:after="80" w:before="0" w:line="360"/>
        <w:ind w:firstLine="720"/>
        <w:jc w:val="both"/>
      </w:pPr>
      <w:r>
        <w:rPr>
          <w:rFonts w:ascii="TH Sarabun New" w:cs="TH Sarabun New" w:eastAsia="TH Sarabun New" w:hAnsi="TH Sarabun New"/>
          <w:sz w:val="32"/>
          <w:szCs w:val="32"/>
        </w:rPr>
        <w:t xml:space="preserve">นอกจากนี้ Chickering และ Gamson (1987) ได้เสนอ Seven Principles for Good Practice in Undergraduate Education ซึ่งเป็นกรอบที่เป็นรากฐานของแนวคิด active learning ทั้งหมด ได้แก่ encourage student-faculty contact, encourage cooperation among students, encourage active learning, give prompt feedback, emphasize time on task, communicate high expectations และ respect diverse talents and ways of learning หลักการเหล่านี้สะท้อนใน COSMOS LOG ผ่านระบบ teacher pace remote ที่สนับสนุน student-faculty contact ระบบ leaderboard ที่สนับสนุน cooperation และ visual/audio feedback ที่ตอบสนองทันทีในเกม</w:t>
      </w:r>
    </w:p>
    <w:p>
      <w:pPr>
        <w:spacing w:after="120" w:before="280"/>
        <w:jc w:val="left"/>
      </w:pPr>
      <w:r>
        <w:rPr>
          <w:rFonts w:ascii="TH Sarabun New" w:cs="TH Sarabun New" w:eastAsia="TH Sarabun New" w:hAnsi="TH Sarabun New"/>
          <w:b/>
          <w:bCs/>
          <w:sz w:val="36"/>
          <w:szCs w:val="36"/>
        </w:rPr>
        <w:t xml:space="preserve">2.4.3 รูปแบบของการเรียนรู้เชิงรุก</w:t>
      </w:r>
    </w:p>
    <w:p>
      <w:pPr>
        <w:spacing w:after="80" w:before="0" w:line="360"/>
        <w:ind w:firstLine="720"/>
        <w:jc w:val="both"/>
      </w:pPr>
      <w:r>
        <w:rPr>
          <w:rFonts w:ascii="TH Sarabun New" w:cs="TH Sarabun New" w:eastAsia="TH Sarabun New" w:hAnsi="TH Sarabun New"/>
          <w:sz w:val="32"/>
          <w:szCs w:val="32"/>
        </w:rPr>
        <w:t xml:space="preserve">Felder และ Brent (2009) จำแนกกิจกรรมการเรียนรู้เชิงรุกออกเป็น 3 กลุ่มใหญ่ตามขนาดของกลุ่มผู้เรียน</w:t>
      </w:r>
    </w:p>
    <w:p>
      <w:pPr>
        <w:spacing w:after="80" w:before="0" w:line="360"/>
        <w:ind w:firstLine="720"/>
        <w:jc w:val="both"/>
      </w:pPr>
      <w:r>
        <w:rPr>
          <w:rFonts w:ascii="TH Sarabun New" w:cs="TH Sarabun New" w:eastAsia="TH Sarabun New" w:hAnsi="TH Sarabun New"/>
          <w:b/>
          <w:bCs/>
          <w:sz w:val="32"/>
          <w:szCs w:val="32"/>
        </w:rPr>
        <w:t xml:space="preserve">(1) Individual activities — กิจกรรมรายบุคคล  </w:t>
      </w:r>
      <w:r>
        <w:rPr>
          <w:rFonts w:ascii="TH Sarabun New" w:cs="TH Sarabun New" w:eastAsia="TH Sarabun New" w:hAnsi="TH Sarabun New"/>
          <w:sz w:val="32"/>
          <w:szCs w:val="32"/>
        </w:rPr>
        <w:t xml:space="preserve">เช่น Minute paper · Reflection journal · Concept mapping · Quiz with feedback · Two-tier diagnostic · Predict-Observe-Explain (POE) เหมาะกับการสำรวจมโนทัศน์เดิมและการสะท้อนคิด</w:t>
      </w:r>
    </w:p>
    <w:p>
      <w:pPr>
        <w:spacing w:after="80" w:before="0" w:line="360"/>
        <w:ind w:firstLine="720"/>
        <w:jc w:val="both"/>
      </w:pPr>
      <w:r>
        <w:rPr>
          <w:rFonts w:ascii="TH Sarabun New" w:cs="TH Sarabun New" w:eastAsia="TH Sarabun New" w:hAnsi="TH Sarabun New"/>
          <w:b/>
          <w:bCs/>
          <w:sz w:val="32"/>
          <w:szCs w:val="32"/>
        </w:rPr>
        <w:t xml:space="preserve">(2) Pair activities — กิจกรรมเป็นคู่  </w:t>
      </w:r>
      <w:r>
        <w:rPr>
          <w:rFonts w:ascii="TH Sarabun New" w:cs="TH Sarabun New" w:eastAsia="TH Sarabun New" w:hAnsi="TH Sarabun New"/>
          <w:sz w:val="32"/>
          <w:szCs w:val="32"/>
        </w:rPr>
        <w:t xml:space="preserve">เช่น Think-Pair-Share · Peer instruction · Pair problem solving · Peer review เหมาะกับการสร้าง productive struggle และเปิดโอกาสให้นักเรียนช่วยกันแก้ misconception ผ่านการอภิปราย</w:t>
      </w:r>
    </w:p>
    <w:p>
      <w:pPr>
        <w:spacing w:after="80" w:before="0" w:line="360"/>
        <w:ind w:firstLine="720"/>
        <w:jc w:val="both"/>
      </w:pPr>
      <w:r>
        <w:rPr>
          <w:rFonts w:ascii="TH Sarabun New" w:cs="TH Sarabun New" w:eastAsia="TH Sarabun New" w:hAnsi="TH Sarabun New"/>
          <w:b/>
          <w:bCs/>
          <w:sz w:val="32"/>
          <w:szCs w:val="32"/>
        </w:rPr>
        <w:t xml:space="preserve">(3) Group activities — กิจกรรมเป็นกลุ่ม  </w:t>
      </w:r>
      <w:r>
        <w:rPr>
          <w:rFonts w:ascii="TH Sarabun New" w:cs="TH Sarabun New" w:eastAsia="TH Sarabun New" w:hAnsi="TH Sarabun New"/>
          <w:sz w:val="32"/>
          <w:szCs w:val="32"/>
        </w:rPr>
        <w:t xml:space="preserve">เช่น Jigsaw · Cooperative learning · Problem-based learning (PBL) · Project-based learning · Game-based learning · Collaborative inquiry เหมาะกับโจทย์ที่ซับซ้อนและต้องการความหลากหลายของมุมมอง</w:t>
      </w:r>
    </w:p>
    <w:p>
      <w:pPr>
        <w:spacing w:after="120" w:before="280"/>
        <w:jc w:val="left"/>
      </w:pPr>
      <w:r>
        <w:rPr>
          <w:rFonts w:ascii="TH Sarabun New" w:cs="TH Sarabun New" w:eastAsia="TH Sarabun New" w:hAnsi="TH Sarabun New"/>
          <w:b/>
          <w:bCs/>
          <w:sz w:val="36"/>
          <w:szCs w:val="36"/>
        </w:rPr>
        <w:t xml:space="preserve">2.4.4 บทบาทของครูและนักเรียน</w:t>
      </w:r>
    </w:p>
    <w:p>
      <w:pPr>
        <w:spacing w:after="80" w:before="0" w:line="360"/>
        <w:ind w:firstLine="720"/>
        <w:jc w:val="both"/>
      </w:pPr>
      <w:r>
        <w:rPr>
          <w:rFonts w:ascii="TH Sarabun New" w:cs="TH Sarabun New" w:eastAsia="TH Sarabun New" w:hAnsi="TH Sarabun New"/>
          <w:sz w:val="32"/>
          <w:szCs w:val="32"/>
        </w:rPr>
        <w:t xml:space="preserve">การเปลี่ยนผ่านจากห้องเรียนแบบบรรยายสู่ห้องเรียนแบบ active learning ไม่ใช่เพียงการเปลี่ยนกิจกรรม แต่เป็นการเปลี่ยน "บทบาท" ของผู้เกี่ยวข้องในห้องเรียนทั้งหมด King (1993) สรุปการเปลี่ยนแปลงนี้ในวลีคลาสสิกที่กลายเป็นมาตรฐานของวงการว่า "From Sage on the Stage to Guide on the Side" — จากนักปราชญ์บนเวทีสู่ผู้นำทางข้างเวที ตารางที่ 2.4 สรุปการเปลี่ยนผ่านนี้ในมิติต่าง ๆ ของห้องเรียน</w:t>
      </w:r>
    </w:p>
    <w:p>
      <w:pPr>
        <w:spacing w:after="100" w:before="200"/>
        <w:jc w:val="left"/>
      </w:pPr>
      <w:r>
        <w:rPr>
          <w:rFonts w:ascii="TH Sarabun New" w:cs="TH Sarabun New" w:eastAsia="TH Sarabun New" w:hAnsi="TH Sarabun New"/>
          <w:b/>
          <w:bCs/>
          <w:sz w:val="32"/>
          <w:szCs w:val="32"/>
        </w:rPr>
        <w:t xml:space="preserve">ตารางที่ 2.4  เปรียบเทียบบทบาทในการเรียนแบบ Passive vs. Active</w:t>
      </w:r>
    </w:p>
    <w:tbl>
      <w:tblPr>
        <w:tblW w:type="pct" w:w="100%"/>
        <w:tblBorders>
          <w:top w:val="single" w:color="888888" w:sz="4"/>
          <w:left w:val="single" w:color="888888" w:sz="4"/>
          <w:bottom w:val="single" w:color="888888" w:sz="4"/>
          <w:right w:val="single" w:color="888888" w:sz="4"/>
          <w:insideH w:val="single" w:color="888888" w:sz="4"/>
          <w:insideV w:val="single" w:color="888888" w:sz="4"/>
        </w:tblBorders>
      </w:tblPr>
      <w:tblGrid>
        <w:gridCol w:w="100"/>
        <w:gridCol w:w="100"/>
        <w:gridCol w:w="100"/>
      </w:tblGrid>
      <w:tr>
        <w:trPr>
          <w:tblHeader/>
        </w:trPr>
        <w:tc>
          <w:tcPr>
            <w:tcW w:type="pct" w:w="22%"/>
            <w:shd w:fill="D9E2F3" w:color="auto" w:val="clear"/>
          </w:tcPr>
          <w:p>
            <w:pPr>
              <w:spacing w:after="40" w:line="300"/>
              <w:jc w:val="left"/>
            </w:pPr>
            <w:r>
              <w:rPr>
                <w:rFonts w:ascii="TH Sarabun New" w:cs="TH Sarabun New" w:eastAsia="TH Sarabun New" w:hAnsi="TH Sarabun New"/>
                <w:b/>
                <w:bCs/>
                <w:sz w:val="30"/>
                <w:szCs w:val="30"/>
              </w:rPr>
              <w:t xml:space="preserve">องค์ประกอบ</w:t>
            </w:r>
          </w:p>
        </w:tc>
        <w:tc>
          <w:tcPr>
            <w:tcW w:type="pct" w:w="33%"/>
            <w:shd w:fill="D9E2F3" w:color="auto" w:val="clear"/>
          </w:tcPr>
          <w:p>
            <w:pPr>
              <w:spacing w:after="40" w:line="300"/>
              <w:jc w:val="left"/>
            </w:pPr>
            <w:r>
              <w:rPr>
                <w:rFonts w:ascii="TH Sarabun New" w:cs="TH Sarabun New" w:eastAsia="TH Sarabun New" w:hAnsi="TH Sarabun New"/>
                <w:b/>
                <w:bCs/>
                <w:sz w:val="30"/>
                <w:szCs w:val="30"/>
              </w:rPr>
              <w:t xml:space="preserve">Passive Learning</w:t>
            </w:r>
          </w:p>
        </w:tc>
        <w:tc>
          <w:tcPr>
            <w:tcW w:type="pct" w:w="45%"/>
            <w:shd w:fill="D9E2F3" w:color="auto" w:val="clear"/>
          </w:tcPr>
          <w:p>
            <w:pPr>
              <w:spacing w:after="40" w:line="300"/>
              <w:jc w:val="left"/>
            </w:pPr>
            <w:r>
              <w:rPr>
                <w:rFonts w:ascii="TH Sarabun New" w:cs="TH Sarabun New" w:eastAsia="TH Sarabun New" w:hAnsi="TH Sarabun New"/>
                <w:b/>
                <w:bCs/>
                <w:sz w:val="30"/>
                <w:szCs w:val="30"/>
              </w:rPr>
              <w:t xml:space="preserve">Active Learning</w:t>
            </w:r>
          </w:p>
        </w:tc>
      </w:tr>
      <w:tr>
        <w:trPr>
          <w:tblHeader w:val="false"/>
        </w:trPr>
        <w:tc>
          <w:tcPr>
            <w:tcW w:type="pct" w:w="22%"/>
          </w:tcPr>
          <w:p>
            <w:pPr>
              <w:spacing w:after="40" w:line="300"/>
              <w:jc w:val="left"/>
            </w:pPr>
            <w:r>
              <w:rPr>
                <w:rFonts w:ascii="TH Sarabun New" w:cs="TH Sarabun New" w:eastAsia="TH Sarabun New" w:hAnsi="TH Sarabun New"/>
                <w:b w:val="false"/>
                <w:bCs w:val="false"/>
                <w:sz w:val="30"/>
                <w:szCs w:val="30"/>
              </w:rPr>
              <w:t xml:space="preserve">บทบาทครู</w:t>
            </w:r>
          </w:p>
        </w:tc>
        <w:tc>
          <w:tcPr>
            <w:tcW w:type="pct" w:w="33%"/>
          </w:tcPr>
          <w:p>
            <w:pPr>
              <w:spacing w:after="40" w:line="300"/>
              <w:jc w:val="left"/>
            </w:pPr>
            <w:r>
              <w:rPr>
                <w:rFonts w:ascii="TH Sarabun New" w:cs="TH Sarabun New" w:eastAsia="TH Sarabun New" w:hAnsi="TH Sarabun New"/>
                <w:b w:val="false"/>
                <w:bCs w:val="false"/>
                <w:sz w:val="30"/>
                <w:szCs w:val="30"/>
              </w:rPr>
              <w:t xml:space="preserve">ผู้บรรยาย ผู้บอกความรู้ (sage on the stage)</w:t>
            </w:r>
          </w:p>
        </w:tc>
        <w:tc>
          <w:tcPr>
            <w:tcW w:type="pct" w:w="45%"/>
          </w:tcPr>
          <w:p>
            <w:pPr>
              <w:spacing w:after="40" w:line="300"/>
              <w:jc w:val="left"/>
            </w:pPr>
            <w:r>
              <w:rPr>
                <w:rFonts w:ascii="TH Sarabun New" w:cs="TH Sarabun New" w:eastAsia="TH Sarabun New" w:hAnsi="TH Sarabun New"/>
                <w:b w:val="false"/>
                <w:bCs w:val="false"/>
                <w:sz w:val="30"/>
                <w:szCs w:val="30"/>
              </w:rPr>
              <w:t xml:space="preserve">ผู้อำนวยการเรียนรู้ (guide on the side) · ออกแบบกิจกรรม · ตั้งคำถาม · feedback</w:t>
            </w:r>
          </w:p>
        </w:tc>
      </w:tr>
      <w:tr>
        <w:trPr>
          <w:tblHeader w:val="false"/>
        </w:trPr>
        <w:tc>
          <w:tcPr>
            <w:tcW w:type="pct" w:w="22%"/>
          </w:tcPr>
          <w:p>
            <w:pPr>
              <w:spacing w:after="40" w:line="300"/>
              <w:jc w:val="left"/>
            </w:pPr>
            <w:r>
              <w:rPr>
                <w:rFonts w:ascii="TH Sarabun New" w:cs="TH Sarabun New" w:eastAsia="TH Sarabun New" w:hAnsi="TH Sarabun New"/>
                <w:b w:val="false"/>
                <w:bCs w:val="false"/>
                <w:sz w:val="30"/>
                <w:szCs w:val="30"/>
              </w:rPr>
              <w:t xml:space="preserve">บทบาทนักเรียน</w:t>
            </w:r>
          </w:p>
        </w:tc>
        <w:tc>
          <w:tcPr>
            <w:tcW w:type="pct" w:w="33%"/>
          </w:tcPr>
          <w:p>
            <w:pPr>
              <w:spacing w:after="40" w:line="300"/>
              <w:jc w:val="left"/>
            </w:pPr>
            <w:r>
              <w:rPr>
                <w:rFonts w:ascii="TH Sarabun New" w:cs="TH Sarabun New" w:eastAsia="TH Sarabun New" w:hAnsi="TH Sarabun New"/>
                <w:b w:val="false"/>
                <w:bCs w:val="false"/>
                <w:sz w:val="30"/>
                <w:szCs w:val="30"/>
              </w:rPr>
              <w:t xml:space="preserve">ผู้รับสาร · ฟัง · จด · จำ</w:t>
            </w:r>
          </w:p>
        </w:tc>
        <w:tc>
          <w:tcPr>
            <w:tcW w:type="pct" w:w="45%"/>
          </w:tcPr>
          <w:p>
            <w:pPr>
              <w:spacing w:after="40" w:line="300"/>
              <w:jc w:val="left"/>
            </w:pPr>
            <w:r>
              <w:rPr>
                <w:rFonts w:ascii="TH Sarabun New" w:cs="TH Sarabun New" w:eastAsia="TH Sarabun New" w:hAnsi="TH Sarabun New"/>
                <w:b w:val="false"/>
                <w:bCs w:val="false"/>
                <w:sz w:val="30"/>
                <w:szCs w:val="30"/>
              </w:rPr>
              <w:t xml:space="preserve">ผู้สร้างความรู้ · ลงมือทำ · คิดวิเคราะห์ · อภิปราย · สะท้อนคิด</w:t>
            </w:r>
          </w:p>
        </w:tc>
      </w:tr>
      <w:tr>
        <w:trPr>
          <w:tblHeader w:val="false"/>
        </w:trPr>
        <w:tc>
          <w:tcPr>
            <w:tcW w:type="pct" w:w="22%"/>
          </w:tcPr>
          <w:p>
            <w:pPr>
              <w:spacing w:after="40" w:line="300"/>
              <w:jc w:val="left"/>
            </w:pPr>
            <w:r>
              <w:rPr>
                <w:rFonts w:ascii="TH Sarabun New" w:cs="TH Sarabun New" w:eastAsia="TH Sarabun New" w:hAnsi="TH Sarabun New"/>
                <w:b w:val="false"/>
                <w:bCs w:val="false"/>
                <w:sz w:val="30"/>
                <w:szCs w:val="30"/>
              </w:rPr>
              <w:t xml:space="preserve">สื่อ</w:t>
            </w:r>
          </w:p>
        </w:tc>
        <w:tc>
          <w:tcPr>
            <w:tcW w:type="pct" w:w="33%"/>
          </w:tcPr>
          <w:p>
            <w:pPr>
              <w:spacing w:after="40" w:line="300"/>
              <w:jc w:val="left"/>
            </w:pPr>
            <w:r>
              <w:rPr>
                <w:rFonts w:ascii="TH Sarabun New" w:cs="TH Sarabun New" w:eastAsia="TH Sarabun New" w:hAnsi="TH Sarabun New"/>
                <w:b w:val="false"/>
                <w:bCs w:val="false"/>
                <w:sz w:val="30"/>
                <w:szCs w:val="30"/>
              </w:rPr>
              <w:t xml:space="preserve">PowerPoint · video · textbook</w:t>
            </w:r>
          </w:p>
        </w:tc>
        <w:tc>
          <w:tcPr>
            <w:tcW w:type="pct" w:w="45%"/>
          </w:tcPr>
          <w:p>
            <w:pPr>
              <w:spacing w:after="40" w:line="300"/>
              <w:jc w:val="left"/>
            </w:pPr>
            <w:r>
              <w:rPr>
                <w:rFonts w:ascii="TH Sarabun New" w:cs="TH Sarabun New" w:eastAsia="TH Sarabun New" w:hAnsi="TH Sarabun New"/>
                <w:b w:val="false"/>
                <w:bCs w:val="false"/>
                <w:sz w:val="30"/>
                <w:szCs w:val="30"/>
              </w:rPr>
              <w:t xml:space="preserve">Simulation · เกม · case · POE · concept map</w:t>
            </w:r>
          </w:p>
        </w:tc>
      </w:tr>
      <w:tr>
        <w:trPr>
          <w:tblHeader w:val="false"/>
        </w:trPr>
        <w:tc>
          <w:tcPr>
            <w:tcW w:type="pct" w:w="22%"/>
          </w:tcPr>
          <w:p>
            <w:pPr>
              <w:spacing w:after="40" w:line="300"/>
              <w:jc w:val="left"/>
            </w:pPr>
            <w:r>
              <w:rPr>
                <w:rFonts w:ascii="TH Sarabun New" w:cs="TH Sarabun New" w:eastAsia="TH Sarabun New" w:hAnsi="TH Sarabun New"/>
                <w:b w:val="false"/>
                <w:bCs w:val="false"/>
                <w:sz w:val="30"/>
                <w:szCs w:val="30"/>
              </w:rPr>
              <w:t xml:space="preserve">การวัดผล</w:t>
            </w:r>
          </w:p>
        </w:tc>
        <w:tc>
          <w:tcPr>
            <w:tcW w:type="pct" w:w="33%"/>
          </w:tcPr>
          <w:p>
            <w:pPr>
              <w:spacing w:after="40" w:line="300"/>
              <w:jc w:val="left"/>
            </w:pPr>
            <w:r>
              <w:rPr>
                <w:rFonts w:ascii="TH Sarabun New" w:cs="TH Sarabun New" w:eastAsia="TH Sarabun New" w:hAnsi="TH Sarabun New"/>
                <w:b w:val="false"/>
                <w:bCs w:val="false"/>
                <w:sz w:val="30"/>
                <w:szCs w:val="30"/>
              </w:rPr>
              <w:t xml:space="preserve">Multiple choice · จำเนื้อหา</w:t>
            </w:r>
          </w:p>
        </w:tc>
        <w:tc>
          <w:tcPr>
            <w:tcW w:type="pct" w:w="45%"/>
          </w:tcPr>
          <w:p>
            <w:pPr>
              <w:spacing w:after="40" w:line="300"/>
              <w:jc w:val="left"/>
            </w:pPr>
            <w:r>
              <w:rPr>
                <w:rFonts w:ascii="TH Sarabun New" w:cs="TH Sarabun New" w:eastAsia="TH Sarabun New" w:hAnsi="TH Sarabun New"/>
                <w:b w:val="false"/>
                <w:bCs w:val="false"/>
                <w:sz w:val="30"/>
                <w:szCs w:val="30"/>
              </w:rPr>
              <w:t xml:space="preserve">Two-tier diagnostic · journal · portfolio · performance · misconception inventory</w:t>
            </w:r>
          </w:p>
        </w:tc>
      </w:tr>
    </w:tbl>
    <w:p>
      <w:pPr>
        <w:spacing w:after="120" w:before="280"/>
        <w:jc w:val="left"/>
      </w:pPr>
      <w:r>
        <w:rPr>
          <w:rFonts w:ascii="TH Sarabun New" w:cs="TH Sarabun New" w:eastAsia="TH Sarabun New" w:hAnsi="TH Sarabun New"/>
          <w:b/>
          <w:bCs/>
          <w:sz w:val="36"/>
          <w:szCs w:val="36"/>
        </w:rPr>
        <w:t xml:space="preserve">2.4.5 ข้อดีและข้อจำกัด</w:t>
      </w:r>
    </w:p>
    <w:p>
      <w:pPr>
        <w:spacing w:after="80" w:before="0" w:line="360"/>
        <w:ind w:firstLine="720"/>
        <w:jc w:val="both"/>
      </w:pPr>
      <w:r>
        <w:rPr>
          <w:rFonts w:ascii="TH Sarabun New" w:cs="TH Sarabun New" w:eastAsia="TH Sarabun New" w:hAnsi="TH Sarabun New"/>
          <w:sz w:val="32"/>
          <w:szCs w:val="32"/>
        </w:rPr>
        <w:t xml:space="preserve">การเรียนรู้เชิงรุกเป็นแนวคิดที่มีข้อดีหลายประการ แต่ก็มีข้อจำกัดที่ครูต้องวางแผนรับมือ ผู้วิจัยสรุปไว้ดังนี้</w:t>
      </w:r>
    </w:p>
    <w:p>
      <w:pPr>
        <w:spacing w:after="80" w:before="0" w:line="360"/>
        <w:ind w:firstLine="720"/>
        <w:jc w:val="both"/>
      </w:pPr>
      <w:r>
        <w:rPr>
          <w:rFonts w:ascii="TH Sarabun New" w:cs="TH Sarabun New" w:eastAsia="TH Sarabun New" w:hAnsi="TH Sarabun New"/>
          <w:b/>
          <w:bCs/>
          <w:sz w:val="32"/>
          <w:szCs w:val="32"/>
        </w:rPr>
        <w:t xml:space="preserve">ข้อดี:  </w:t>
      </w:r>
      <w:r>
        <w:rPr>
          <w:rFonts w:ascii="TH Sarabun New" w:cs="TH Sarabun New" w:eastAsia="TH Sarabun New" w:hAnsi="TH Sarabun New"/>
          <w:sz w:val="32"/>
          <w:szCs w:val="32"/>
        </w:rPr>
        <w:t xml:space="preserve">(1) เพิ่มผลสัมฤทธิ์ทางการเรียน (Freeman et al., 2014: +6%) (2) ลดอัตราการสอบตก (Freeman et al., 2014: -55%) (3) พัฒนาทักษะการคิดระดับสูง (4) เพิ่มแรงจูงใจและความผูกพันต่อการเรียน (engagement) และ (5) ความรู้คงทนกว่าการเรียนแบบ passive</w:t>
      </w:r>
    </w:p>
    <w:p>
      <w:pPr>
        <w:spacing w:after="80" w:before="0" w:line="360"/>
        <w:ind w:firstLine="720"/>
        <w:jc w:val="both"/>
      </w:pPr>
      <w:r>
        <w:rPr>
          <w:rFonts w:ascii="TH Sarabun New" w:cs="TH Sarabun New" w:eastAsia="TH Sarabun New" w:hAnsi="TH Sarabun New"/>
          <w:b/>
          <w:bCs/>
          <w:sz w:val="32"/>
          <w:szCs w:val="32"/>
        </w:rPr>
        <w:t xml:space="preserve">ข้อจำกัด:  </w:t>
      </w:r>
      <w:r>
        <w:rPr>
          <w:rFonts w:ascii="TH Sarabun New" w:cs="TH Sarabun New" w:eastAsia="TH Sarabun New" w:hAnsi="TH Sarabun New"/>
          <w:sz w:val="32"/>
          <w:szCs w:val="32"/>
        </w:rPr>
        <w:t xml:space="preserve">(1) ใช้เวลามากในการเตรียมการสอนและการจัดกิจกรรม (2) ครูต้องมีทักษะในการบริหารจัดการห้องเรียนสูง (3) อาจเกิดความวุ่นวายหากออกแบบกิจกรรมไม่เหมาะสม (4) ผู้เรียนบางคนอาจไม่ชอบเพราะคุ้นเคยกับการรับฟัง และ (5) ต้องการอุปกรณ์ สื่อ และเทคโนโลยีที่พร้อม</w:t>
      </w:r>
    </w:p>
    <w:p>
      <w:pPr>
        <w:spacing w:after="80" w:before="0" w:line="360"/>
        <w:ind w:firstLine="720"/>
        <w:jc w:val="both"/>
      </w:pPr>
      <w:r>
        <w:rPr>
          <w:rFonts w:ascii="TH Sarabun New" w:cs="TH Sarabun New" w:eastAsia="TH Sarabun New" w:hAnsi="TH Sarabun New"/>
          <w:sz w:val="32"/>
          <w:szCs w:val="32"/>
        </w:rPr>
        <w:t xml:space="preserve">ข้อจำกัดข้อที่ 1 และ 5 เป็นเหตุผลสำคัญที่ผู้วิจัยตัดสินใจพัฒนา COSMOS LOG ในรูปแบบ web-based ที่นักเรียนเข้าใช้งานได้จากอุปกรณ์ที่หลากหลาย และจัดเก็บกิจกรรม active learning ทั้งหมดไว้ใน "ระบบ" ของเกม ทำให้ครูใช้เวลาเตรียมการสอนน้อยลงในระยะยาว แม้จะใช้เวลามากในระยะพัฒนาก็ตาม</w:t>
      </w:r>
    </w:p>
    <w:p>
      <w:pPr>
        <w:spacing w:after="120" w:before="280"/>
        <w:jc w:val="left"/>
      </w:pPr>
      <w:r>
        <w:rPr>
          <w:rFonts w:ascii="TH Sarabun New" w:cs="TH Sarabun New" w:eastAsia="TH Sarabun New" w:hAnsi="TH Sarabun New"/>
          <w:b/>
          <w:bCs/>
          <w:sz w:val="36"/>
          <w:szCs w:val="36"/>
        </w:rPr>
        <w:t xml:space="preserve">2.4.6 หลักฐานเชิงประจักษ์</w:t>
      </w:r>
    </w:p>
    <w:p>
      <w:pPr>
        <w:spacing w:after="80" w:before="0" w:line="360"/>
        <w:ind w:firstLine="720"/>
        <w:jc w:val="both"/>
      </w:pPr>
      <w:r>
        <w:rPr>
          <w:rFonts w:ascii="TH Sarabun New" w:cs="TH Sarabun New" w:eastAsia="TH Sarabun New" w:hAnsi="TH Sarabun New"/>
          <w:sz w:val="32"/>
          <w:szCs w:val="32"/>
        </w:rPr>
        <w:t xml:space="preserve">Freeman และคณะ (2014) ได้ดำเนินการสังเคราะห์งานวิจัยแบบ meta-analysis จากงานวิจัย 225 ฉบับ ในรายวิชา STEM ระดับอุดมศึกษา และตีพิมพ์ผลในวารสาร Proceedings of the National Academy of Sciences (PNAS) ผลที่ได้กลายเป็นหลักฐานเชิงประจักษ์ที่หนักแน่นที่สุดในประวัติศาสตร์การศึกษาวิทยาศาสตร์</w:t>
      </w:r>
    </w:p>
    <w:p>
      <w:pPr>
        <w:spacing w:after="120" w:before="120" w:line="320"/>
        <w:ind w:left="720" w:right="720"/>
        <w:jc w:val="both"/>
      </w:pPr>
      <w:r>
        <w:rPr>
          <w:rFonts w:ascii="TH Sarabun New" w:cs="TH Sarabun New" w:eastAsia="TH Sarabun New" w:hAnsi="TH Sarabun New"/>
          <w:i/>
          <w:iCs/>
          <w:sz w:val="32"/>
          <w:szCs w:val="32"/>
        </w:rPr>
        <w:t xml:space="preserve">"การเรียนรู้เชิงรุกเพิ่มผลสัมฤทธิ์ทางการเรียนเฉลี่ย 6% และลดอัตราการสอบตกร้อยละ 55 ในรายวิชา STEM"</w:t>
      </w:r>
      <w:r>
        <w:rPr>
          <w:rFonts w:ascii="TH Sarabun New" w:cs="TH Sarabun New" w:eastAsia="TH Sarabun New" w:hAnsi="TH Sarabun New"/>
          <w:color w:val="595959"/>
          <w:sz w:val="30"/>
          <w:szCs w:val="30"/>
        </w:rPr>
        <w:t xml:space="preserve">  — Freeman et al., 2014, p. 8410</w:t>
      </w:r>
    </w:p>
    <w:p>
      <w:pPr>
        <w:spacing w:after="80" w:before="0" w:line="360"/>
        <w:ind w:firstLine="720"/>
        <w:jc w:val="both"/>
      </w:pPr>
      <w:r>
        <w:rPr>
          <w:rFonts w:ascii="TH Sarabun New" w:cs="TH Sarabun New" w:eastAsia="TH Sarabun New" w:hAnsi="TH Sarabun New"/>
          <w:sz w:val="32"/>
          <w:szCs w:val="32"/>
        </w:rPr>
        <w:t xml:space="preserve">คำกล่าวจากผู้เขียนนำของบทความที่กลายเป็นคำคมในวงการคือ "ถ้าการเรียนรู้เชิงรุกเป็นยา และเราทำการทดลองกับมัน เราคงต้องหยุดการทดลองเพราะมันได้ผลดีจนการให้กลุ่มควบคุมเรียนแบบบรรยายต่อไปเป็นเรื่องผิดจริยธรรม" ต่อมา Theobald และคณะ (2020) ได้ทำ meta-analysis เพิ่มเติมจาก 41 งานวิจัย พบว่า การเรียนรู้เชิงรุกช่วยลด achievement gap ระหว่างนักเรียนที่ด้อยโอกาส (underrepresented students) และนักเรียนทั่วไปได้อย่างมีนัยสำคัญ ซึ่งสนับสนุนวิสัยทัศน์ของหลักสูตรไทยที่ว่า "ทุกคนสามารถเรียนรู้และพัฒนาตนเองได้เต็มตามศักยภาพ"</w:t>
      </w:r>
    </w:p>
    <w:p>
      <w:pPr>
        <w:spacing w:after="80" w:before="0" w:line="360"/>
        <w:ind w:firstLine="720"/>
        <w:jc w:val="both"/>
      </w:pPr>
      <w:r>
        <w:rPr>
          <w:rFonts w:ascii="TH Sarabun New" w:cs="TH Sarabun New" w:eastAsia="TH Sarabun New" w:hAnsi="TH Sarabun New"/>
          <w:sz w:val="32"/>
          <w:szCs w:val="32"/>
        </w:rPr>
        <w:t xml:space="preserve">สำหรับวงการฟิสิกส์ศึกษา Hake (1998) ได้สังเคราะห์ข้อมูลจากนักเรียน 6,542 คนใน 62 ห้องเรียน พบว่า ห้องเรียนที่ใช้ interactive engagement มี normalized gain (g) เฉลี่ย 0.48 ขณะที่ห้องเรียนแบบ traditional มีเพียง 0.23 ซึ่งเป็นความแตกต่างขนาด 2 เท่าที่ปรากฏซ้ำไม่ว่าครูคนใดจะเป็นผู้สอน ผลการวิจัยของ Hake นี้สนับสนุนการตัดสินใจของผู้วิจัยในการเลือกใช้แนวคิด active learning เป็นเสาหลักในการออกแบบ COSMOS LOG</w:t>
      </w:r>
    </w:p>
    <w:p>
      <w:pPr>
        <w:spacing w:after="120" w:before="280"/>
        <w:jc w:val="left"/>
      </w:pPr>
      <w:r>
        <w:rPr>
          <w:rFonts w:ascii="TH Sarabun New" w:cs="TH Sarabun New" w:eastAsia="TH Sarabun New" w:hAnsi="TH Sarabun New"/>
          <w:b/>
          <w:bCs/>
          <w:sz w:val="36"/>
          <w:szCs w:val="36"/>
        </w:rPr>
        <w:t xml:space="preserve">2.4.7 การประยุกต์ใช้ในงานวิจัยนี้</w:t>
      </w:r>
    </w:p>
    <w:p>
      <w:pPr>
        <w:spacing w:after="80" w:before="0" w:line="360"/>
        <w:ind w:firstLine="720"/>
        <w:jc w:val="both"/>
      </w:pPr>
      <w:r>
        <w:rPr>
          <w:rFonts w:ascii="TH Sarabun New" w:cs="TH Sarabun New" w:eastAsia="TH Sarabun New" w:hAnsi="TH Sarabun New"/>
          <w:sz w:val="32"/>
          <w:szCs w:val="32"/>
        </w:rPr>
        <w:t xml:space="preserve">ผู้วิจัยได้ออกแบบกิจกรรมในแต่ละองก์ของชุดบทเรียนเกมดิจิทัลให้สอดคล้องกับองค์ประกอบของการเรียนรู้เชิงรุกอย่างเป็นระบบ โดยพยายามให้ทุก EP มีกิจกรรมครบทั้ง 6 หลักการของ active learning ดังตารางที่ 2.5</w:t>
      </w:r>
    </w:p>
    <w:p>
      <w:pPr>
        <w:spacing w:after="100" w:before="200"/>
        <w:jc w:val="left"/>
      </w:pPr>
      <w:r>
        <w:rPr>
          <w:rFonts w:ascii="TH Sarabun New" w:cs="TH Sarabun New" w:eastAsia="TH Sarabun New" w:hAnsi="TH Sarabun New"/>
          <w:b/>
          <w:bCs/>
          <w:sz w:val="32"/>
          <w:szCs w:val="32"/>
        </w:rPr>
        <w:t xml:space="preserve">ตารางที่ 2.5  การจับคู่หลักการ Active Learning กับกิจกรรมใน COSMOS LOG</w:t>
      </w:r>
    </w:p>
    <w:tbl>
      <w:tblPr>
        <w:tblW w:type="pct" w:w="100%"/>
        <w:tblBorders>
          <w:top w:val="single" w:color="888888" w:sz="4"/>
          <w:left w:val="single" w:color="888888" w:sz="4"/>
          <w:bottom w:val="single" w:color="888888" w:sz="4"/>
          <w:right w:val="single" w:color="888888" w:sz="4"/>
          <w:insideH w:val="single" w:color="888888" w:sz="4"/>
          <w:insideV w:val="single" w:color="888888" w:sz="4"/>
        </w:tblBorders>
      </w:tblPr>
      <w:tblGrid>
        <w:gridCol w:w="100"/>
        <w:gridCol w:w="100"/>
      </w:tblGrid>
      <w:tr>
        <w:trPr>
          <w:tblHeader/>
        </w:trPr>
        <w:tc>
          <w:tcPr>
            <w:tcW w:type="pct" w:w="38%"/>
            <w:shd w:fill="D9E2F3" w:color="auto" w:val="clear"/>
          </w:tcPr>
          <w:p>
            <w:pPr>
              <w:spacing w:after="40" w:line="300"/>
              <w:jc w:val="left"/>
            </w:pPr>
            <w:r>
              <w:rPr>
                <w:rFonts w:ascii="TH Sarabun New" w:cs="TH Sarabun New" w:eastAsia="TH Sarabun New" w:hAnsi="TH Sarabun New"/>
                <w:b/>
                <w:bCs/>
                <w:sz w:val="30"/>
                <w:szCs w:val="30"/>
              </w:rPr>
              <w:t xml:space="preserve">หลักการ Active Learning</w:t>
            </w:r>
          </w:p>
        </w:tc>
        <w:tc>
          <w:tcPr>
            <w:tcW w:type="pct" w:w="62%"/>
            <w:shd w:fill="D9E2F3" w:color="auto" w:val="clear"/>
          </w:tcPr>
          <w:p>
            <w:pPr>
              <w:spacing w:after="40" w:line="300"/>
              <w:jc w:val="left"/>
            </w:pPr>
            <w:r>
              <w:rPr>
                <w:rFonts w:ascii="TH Sarabun New" w:cs="TH Sarabun New" w:eastAsia="TH Sarabun New" w:hAnsi="TH Sarabun New"/>
                <w:b/>
                <w:bCs/>
                <w:sz w:val="30"/>
                <w:szCs w:val="30"/>
              </w:rPr>
              <w:t xml:space="preserve">ตัวอย่างกิจกรรมใน COSMOS LOG</w:t>
            </w:r>
          </w:p>
        </w:tc>
      </w:tr>
      <w:tr>
        <w:trPr>
          <w:tblHeader w:val="false"/>
        </w:trPr>
        <w:tc>
          <w:tcPr>
            <w:tcW w:type="pct" w:w="38%"/>
          </w:tcPr>
          <w:p>
            <w:pPr>
              <w:spacing w:after="40" w:line="300"/>
              <w:jc w:val="left"/>
            </w:pPr>
            <w:r>
              <w:rPr>
                <w:rFonts w:ascii="TH Sarabun New" w:cs="TH Sarabun New" w:eastAsia="TH Sarabun New" w:hAnsi="TH Sarabun New"/>
                <w:b w:val="false"/>
                <w:bCs w:val="false"/>
                <w:sz w:val="30"/>
                <w:szCs w:val="30"/>
              </w:rPr>
              <w:t xml:space="preserve">Hands-on</w:t>
            </w:r>
          </w:p>
        </w:tc>
        <w:tc>
          <w:tcPr>
            <w:tcW w:type="pct" w:w="62%"/>
          </w:tcPr>
          <w:p>
            <w:pPr>
              <w:spacing w:after="40" w:line="300"/>
              <w:jc w:val="left"/>
            </w:pPr>
            <w:r>
              <w:rPr>
                <w:rFonts w:ascii="TH Sarabun New" w:cs="TH Sarabun New" w:eastAsia="TH Sarabun New" w:hAnsi="TH Sarabun New"/>
                <w:b w:val="false"/>
                <w:bCs w:val="false"/>
                <w:sz w:val="30"/>
                <w:szCs w:val="30"/>
              </w:rPr>
              <w:t xml:space="preserve">Lab Build · ลากการ์ดดาวบนแผนภาพ HR · ปรับ slider พลังงาน · คำนวณ d=1/p</w:t>
            </w:r>
          </w:p>
        </w:tc>
      </w:tr>
      <w:tr>
        <w:trPr>
          <w:tblHeader w:val="false"/>
        </w:trPr>
        <w:tc>
          <w:tcPr>
            <w:tcW w:type="pct" w:w="38%"/>
          </w:tcPr>
          <w:p>
            <w:pPr>
              <w:spacing w:after="40" w:line="300"/>
              <w:jc w:val="left"/>
            </w:pPr>
            <w:r>
              <w:rPr>
                <w:rFonts w:ascii="TH Sarabun New" w:cs="TH Sarabun New" w:eastAsia="TH Sarabun New" w:hAnsi="TH Sarabun New"/>
                <w:b w:val="false"/>
                <w:bCs w:val="false"/>
                <w:sz w:val="30"/>
                <w:szCs w:val="30"/>
              </w:rPr>
              <w:t xml:space="preserve">Higher-order thinking</w:t>
            </w:r>
          </w:p>
        </w:tc>
        <w:tc>
          <w:tcPr>
            <w:tcW w:type="pct" w:w="62%"/>
          </w:tcPr>
          <w:p>
            <w:pPr>
              <w:spacing w:after="40" w:line="300"/>
              <w:jc w:val="left"/>
            </w:pPr>
            <w:r>
              <w:rPr>
                <w:rFonts w:ascii="TH Sarabun New" w:cs="TH Sarabun New" w:eastAsia="TH Sarabun New" w:hAnsi="TH Sarabun New"/>
                <w:b w:val="false"/>
                <w:bCs w:val="false"/>
                <w:sz w:val="30"/>
                <w:szCs w:val="30"/>
              </w:rPr>
              <w:t xml:space="preserve">Boss Fight ที่ต้องวิเคราะห์–สังเคราะห์–ประเมิน เช่น GENESIS FORGE 4-phase</w:t>
            </w:r>
          </w:p>
        </w:tc>
      </w:tr>
      <w:tr>
        <w:trPr>
          <w:tblHeader w:val="false"/>
        </w:trPr>
        <w:tc>
          <w:tcPr>
            <w:tcW w:type="pct" w:w="38%"/>
          </w:tcPr>
          <w:p>
            <w:pPr>
              <w:spacing w:after="40" w:line="300"/>
              <w:jc w:val="left"/>
            </w:pPr>
            <w:r>
              <w:rPr>
                <w:rFonts w:ascii="TH Sarabun New" w:cs="TH Sarabun New" w:eastAsia="TH Sarabun New" w:hAnsi="TH Sarabun New"/>
                <w:b w:val="false"/>
                <w:bCs w:val="false"/>
                <w:sz w:val="30"/>
                <w:szCs w:val="30"/>
              </w:rPr>
              <w:t xml:space="preserve">Reflection</w:t>
            </w:r>
          </w:p>
        </w:tc>
        <w:tc>
          <w:tcPr>
            <w:tcW w:type="pct" w:w="62%"/>
          </w:tcPr>
          <w:p>
            <w:pPr>
              <w:spacing w:after="40" w:line="300"/>
              <w:jc w:val="left"/>
            </w:pPr>
            <w:r>
              <w:rPr>
                <w:rFonts w:ascii="TH Sarabun New" w:cs="TH Sarabun New" w:eastAsia="TH Sarabun New" w:hAnsi="TH Sarabun New"/>
                <w:b w:val="false"/>
                <w:bCs w:val="false"/>
                <w:sz w:val="30"/>
                <w:szCs w:val="30"/>
              </w:rPr>
              <w:t xml:space="preserve">Journal 3-2-1 หลังจบทุก EP · Self-Defense Journal ใน p09 EP02</w:t>
            </w:r>
          </w:p>
        </w:tc>
      </w:tr>
      <w:tr>
        <w:trPr>
          <w:tblHeader w:val="false"/>
        </w:trPr>
        <w:tc>
          <w:tcPr>
            <w:tcW w:type="pct" w:w="38%"/>
          </w:tcPr>
          <w:p>
            <w:pPr>
              <w:spacing w:after="40" w:line="300"/>
              <w:jc w:val="left"/>
            </w:pPr>
            <w:r>
              <w:rPr>
                <w:rFonts w:ascii="TH Sarabun New" w:cs="TH Sarabun New" w:eastAsia="TH Sarabun New" w:hAnsi="TH Sarabun New"/>
                <w:b w:val="false"/>
                <w:bCs w:val="false"/>
                <w:sz w:val="30"/>
                <w:szCs w:val="30"/>
              </w:rPr>
              <w:t xml:space="preserve">Peer interaction</w:t>
            </w:r>
          </w:p>
        </w:tc>
        <w:tc>
          <w:tcPr>
            <w:tcW w:type="pct" w:w="62%"/>
          </w:tcPr>
          <w:p>
            <w:pPr>
              <w:spacing w:after="40" w:line="300"/>
              <w:jc w:val="left"/>
            </w:pPr>
            <w:r>
              <w:rPr>
                <w:rFonts w:ascii="TH Sarabun New" w:cs="TH Sarabun New" w:eastAsia="TH Sarabun New" w:hAnsi="TH Sarabun New"/>
                <w:b w:val="false"/>
                <w:bCs w:val="false"/>
                <w:sz w:val="30"/>
                <w:szCs w:val="30"/>
              </w:rPr>
              <w:t xml:space="preserve">Leaderboard · teacher cards · pace remote ที่นักเรียนเห็นพร้อมกัน</w:t>
            </w:r>
          </w:p>
        </w:tc>
      </w:tr>
      <w:tr>
        <w:trPr>
          <w:tblHeader w:val="false"/>
        </w:trPr>
        <w:tc>
          <w:tcPr>
            <w:tcW w:type="pct" w:w="38%"/>
          </w:tcPr>
          <w:p>
            <w:pPr>
              <w:spacing w:after="40" w:line="300"/>
              <w:jc w:val="left"/>
            </w:pPr>
            <w:r>
              <w:rPr>
                <w:rFonts w:ascii="TH Sarabun New" w:cs="TH Sarabun New" w:eastAsia="TH Sarabun New" w:hAnsi="TH Sarabun New"/>
                <w:b w:val="false"/>
                <w:bCs w:val="false"/>
                <w:sz w:val="30"/>
                <w:szCs w:val="30"/>
              </w:rPr>
              <w:t xml:space="preserve">Decision-making</w:t>
            </w:r>
          </w:p>
        </w:tc>
        <w:tc>
          <w:tcPr>
            <w:tcW w:type="pct" w:w="62%"/>
          </w:tcPr>
          <w:p>
            <w:pPr>
              <w:spacing w:after="40" w:line="300"/>
              <w:jc w:val="left"/>
            </w:pPr>
            <w:r>
              <w:rPr>
                <w:rFonts w:ascii="TH Sarabun New" w:cs="TH Sarabun New" w:eastAsia="TH Sarabun New" w:hAnsi="TH Sarabun New"/>
                <w:b w:val="false"/>
                <w:bCs w:val="false"/>
                <w:sz w:val="30"/>
                <w:szCs w:val="30"/>
              </w:rPr>
              <w:t xml:space="preserve">เลือกใช้พลัง HELION · เลือกเส้นทางใน 4-องก์ EP</w:t>
            </w:r>
          </w:p>
        </w:tc>
      </w:tr>
      <w:tr>
        <w:trPr>
          <w:tblHeader w:val="false"/>
        </w:trPr>
        <w:tc>
          <w:tcPr>
            <w:tcW w:type="pct" w:w="38%"/>
          </w:tcPr>
          <w:p>
            <w:pPr>
              <w:spacing w:after="40" w:line="300"/>
              <w:jc w:val="left"/>
            </w:pPr>
            <w:r>
              <w:rPr>
                <w:rFonts w:ascii="TH Sarabun New" w:cs="TH Sarabun New" w:eastAsia="TH Sarabun New" w:hAnsi="TH Sarabun New"/>
                <w:b w:val="false"/>
                <w:bCs w:val="false"/>
                <w:sz w:val="30"/>
                <w:szCs w:val="30"/>
              </w:rPr>
              <w:t xml:space="preserve">Prompt feedback</w:t>
            </w:r>
          </w:p>
        </w:tc>
        <w:tc>
          <w:tcPr>
            <w:tcW w:type="pct" w:w="62%"/>
          </w:tcPr>
          <w:p>
            <w:pPr>
              <w:spacing w:after="40" w:line="300"/>
              <w:jc w:val="left"/>
            </w:pPr>
            <w:r>
              <w:rPr>
                <w:rFonts w:ascii="TH Sarabun New" w:cs="TH Sarabun New" w:eastAsia="TH Sarabun New" w:hAnsi="TH Sarabun New"/>
                <w:b w:val="false"/>
                <w:bCs w:val="false"/>
                <w:sz w:val="30"/>
                <w:szCs w:val="30"/>
              </w:rPr>
              <w:t xml:space="preserve">Visual + audio feedback ทันทีเมื่อตอบ · streak counter · achievement</w:t>
            </w:r>
          </w:p>
        </w:tc>
      </w:tr>
    </w:tbl>
    <w:p>
      <w:pPr>
        <w:spacing w:after="80" w:before="0" w:line="360"/>
        <w:ind w:firstLine="720"/>
        <w:jc w:val="both"/>
      </w:pPr>
      <w:r>
        <w:rPr>
          <w:rFonts w:ascii="TH Sarabun New" w:cs="TH Sarabun New" w:eastAsia="TH Sarabun New" w:hAnsi="TH Sarabun New"/>
          <w:sz w:val="32"/>
          <w:szCs w:val="32"/>
        </w:rPr>
        <w:t xml:space="preserve">การจับคู่นี้แสดงให้เห็นว่า COSMOS LOG ไม่ได้เป็นเพียง "เกมที่มีเนื้อหาวิชา" แต่เป็น "ระบบ active learning ที่ใช้กลไกของเกมเป็นเครื่องมือ" ความแตกต่างนี้สำคัญ เพราะเกมที่ครอบเนื้อหาเข้าไปเฉย ๆ (chocolate-covered broccoli, ตามคำของ Bruckman, 1999) มักไม่ได้สร้างการเรียนรู้ที่ลึก ขณะที่ระบบ active learning ที่ใช้เกมเป็น vehicle สามารถสร้างการเปลี่ยนแปลงมโนทัศน์ได้จริง</w:t>
      </w:r>
    </w:p>
    <w:p>
      <w:pPr>
        <w:spacing w:after="160" w:before="360"/>
        <w:jc w:val="left"/>
      </w:pPr>
      <w:r>
        <w:rPr>
          <w:rFonts w:ascii="TH Sarabun New" w:cs="TH Sarabun New" w:eastAsia="TH Sarabun New" w:hAnsi="TH Sarabun New"/>
          <w:b/>
          <w:bCs/>
          <w:sz w:val="40"/>
          <w:szCs w:val="40"/>
        </w:rPr>
        <w:t xml:space="preserve">2.5  ทฤษฎีการกำหนดตนเอง (Self-Determination Theory: SDT)</w:t>
      </w:r>
    </w:p>
    <w:p>
      <w:pPr>
        <w:spacing w:after="80" w:before="0" w:line="360"/>
        <w:ind w:firstLine="720"/>
        <w:jc w:val="both"/>
      </w:pPr>
      <w:r>
        <w:rPr>
          <w:rFonts w:ascii="TH Sarabun New" w:cs="TH Sarabun New" w:eastAsia="TH Sarabun New" w:hAnsi="TH Sarabun New"/>
          <w:sz w:val="32"/>
          <w:szCs w:val="32"/>
        </w:rPr>
        <w:t xml:space="preserve">หลังจากที่ active learning ตอบคำถามว่า "นักเรียนเรียนรู้ได้อย่างไร" ทฤษฎีการกำหนดตนเอง (Self-Determination Theory: SDT) จะเข้ามาตอบคำถามคู่ขนานว่า "นักเรียนอยากเรียนรู้ได้อย่างไร" ทั้งสองคำถามนี้แยกกันไม่ออกในห้องเรียนจริง โดยเฉพาะในรายวิชา ว 30105 ที่นักเรียนรับรู้ว่า "ไม่อยู่ในข้อสอบเข้ามหาวิทยาลัย" ผู้วิจัยจึงเลือก SDT เป็นเสาคู่ที่สองของการออกแบบ COSMOS LOG</w:t>
      </w:r>
    </w:p>
    <w:p>
      <w:pPr>
        <w:spacing w:after="120" w:before="280"/>
        <w:jc w:val="left"/>
      </w:pPr>
      <w:r>
        <w:rPr>
          <w:rFonts w:ascii="TH Sarabun New" w:cs="TH Sarabun New" w:eastAsia="TH Sarabun New" w:hAnsi="TH Sarabun New"/>
          <w:b/>
          <w:bCs/>
          <w:sz w:val="36"/>
          <w:szCs w:val="36"/>
        </w:rPr>
        <w:t xml:space="preserve">2.5.1 ภาพรวมและประวัติของทฤษฎี</w:t>
      </w:r>
    </w:p>
    <w:p>
      <w:pPr>
        <w:spacing w:after="80" w:before="0" w:line="360"/>
        <w:ind w:firstLine="720"/>
        <w:jc w:val="both"/>
      </w:pPr>
      <w:r>
        <w:rPr>
          <w:rFonts w:ascii="TH Sarabun New" w:cs="TH Sarabun New" w:eastAsia="TH Sarabun New" w:hAnsi="TH Sarabun New"/>
          <w:sz w:val="32"/>
          <w:szCs w:val="32"/>
        </w:rPr>
        <w:t xml:space="preserve">ทฤษฎีการกำหนดตนเองพัฒนาขึ้นโดย Edward L. Deci และ Richard M. Ryan ตั้งแต่ปี ค.ศ. 1980 ที่มหาวิทยาลัยโรเชสเตอร์ สหรัฐอเมริกา จุดเริ่มต้นของทฤษฎีคือการทดลองคลาสสิกของ Deci ในปี 1971 ที่พบว่า การให้รางวัลภายนอกแก่ผู้ที่กำลังทำกิจกรรมที่สนุกอยู่แล้ว กลับลดความสนใจในกิจกรรมนั้นลง (undermining effect) ผลการทดลองนี้ขัดแย้งกับแนวคิด behaviorism ที่ครองวงการขณะนั้น และนำไปสู่การพัฒนา SDT เป็นกรอบทฤษฎีใหญ่ที่ครอบคลุมทั้ง 6 mini-theories ได้แก่ Cognitive Evaluation Theory, Organismic Integration Theory, Causality Orientations Theory, Basic Psychological Needs Theory, Goal Contents Theory และ Relationships Motivation Theory (Deci &amp; Ryan, 2017)</w:t>
      </w:r>
    </w:p>
    <w:p>
      <w:pPr>
        <w:spacing w:after="80" w:before="0" w:line="360"/>
        <w:ind w:firstLine="720"/>
        <w:jc w:val="both"/>
      </w:pPr>
      <w:r>
        <w:rPr>
          <w:rFonts w:ascii="TH Sarabun New" w:cs="TH Sarabun New" w:eastAsia="TH Sarabun New" w:hAnsi="TH Sarabun New"/>
          <w:sz w:val="32"/>
          <w:szCs w:val="32"/>
        </w:rPr>
        <w:t xml:space="preserve">Deci และ Ryan ได้ทำงานคู่กันมานานกว่า 40 ปี และตีพิมพ์ผลงานร่วมกันหลายร้อยฉบับ ผลของการสะสมหลักฐานเชิงประจักษ์อย่างต่อเนื่องทำให้ SDT กลายเป็นทฤษฎีแรงจูงใจที่ได้รับการยอมรับและนำไปประยุกต์ใช้มากที่สุดในวงการการศึกษา การกีฬา การทำงาน การดูแลสุขภาพ และการออกแบบเกม (Ryan &amp; Deci, 2017)</w:t>
      </w:r>
    </w:p>
    <w:p>
      <w:pPr>
        <w:spacing w:after="120" w:before="280"/>
        <w:jc w:val="left"/>
      </w:pPr>
      <w:r>
        <w:rPr>
          <w:rFonts w:ascii="TH Sarabun New" w:cs="TH Sarabun New" w:eastAsia="TH Sarabun New" w:hAnsi="TH Sarabun New"/>
          <w:b/>
          <w:bCs/>
          <w:sz w:val="36"/>
          <w:szCs w:val="36"/>
        </w:rPr>
        <w:t xml:space="preserve">2.5.2 สเปกตรัมของแรงจูงใจ (Organismic Integration Theory)</w:t>
      </w:r>
    </w:p>
    <w:p>
      <w:pPr>
        <w:spacing w:after="80" w:before="0" w:line="360"/>
        <w:ind w:firstLine="720"/>
        <w:jc w:val="both"/>
      </w:pPr>
      <w:r>
        <w:rPr>
          <w:rFonts w:ascii="TH Sarabun New" w:cs="TH Sarabun New" w:eastAsia="TH Sarabun New" w:hAnsi="TH Sarabun New"/>
          <w:sz w:val="32"/>
          <w:szCs w:val="32"/>
        </w:rPr>
        <w:t xml:space="preserve">ในงานวิจัยทั่วไป มักจำแนกแรงจูงใจเป็นเพียงสองประเภทคือ "แรงจูงใจภายใน" (intrinsic) และ "แรงจูงใจภายนอก" (extrinsic) แต่ Deci และ Ryan (2000) เสนอว่าแรงจูงใจของมนุษย์ไม่ได้มีเพียง "มี/ไม่มี" หรือ "ใน/นอก" แต่อยู่บนสเปกตรัมต่อเนื่อง 6 ระดับ ที่สะท้อนระดับการ "รับเข้ามาเป็นของตน" (internalization) ของพฤติกรรมจากภายนอกสู่ภายใน ดังตารางที่ 2.6</w:t>
      </w:r>
    </w:p>
    <w:p>
      <w:pPr>
        <w:spacing w:after="100" w:before="200"/>
        <w:jc w:val="left"/>
      </w:pPr>
      <w:r>
        <w:rPr>
          <w:rFonts w:ascii="TH Sarabun New" w:cs="TH Sarabun New" w:eastAsia="TH Sarabun New" w:hAnsi="TH Sarabun New"/>
          <w:b/>
          <w:bCs/>
          <w:sz w:val="32"/>
          <w:szCs w:val="32"/>
        </w:rPr>
        <w:t xml:space="preserve">ตารางที่ 2.6  สเปกตรัมของแรงจูงใจ 6 ระดับ ตามทฤษฎี OIT</w:t>
      </w:r>
    </w:p>
    <w:tbl>
      <w:tblPr>
        <w:tblW w:type="pct" w:w="100%"/>
        <w:tblBorders>
          <w:top w:val="single" w:color="888888" w:sz="4"/>
          <w:left w:val="single" w:color="888888" w:sz="4"/>
          <w:bottom w:val="single" w:color="888888" w:sz="4"/>
          <w:right w:val="single" w:color="888888" w:sz="4"/>
          <w:insideH w:val="single" w:color="888888" w:sz="4"/>
          <w:insideV w:val="single" w:color="888888" w:sz="4"/>
        </w:tblBorders>
      </w:tblPr>
      <w:tblGrid>
        <w:gridCol w:w="100"/>
        <w:gridCol w:w="100"/>
        <w:gridCol w:w="100"/>
      </w:tblGrid>
      <w:tr>
        <w:trPr>
          <w:tblHeader/>
        </w:trPr>
        <w:tc>
          <w:tcPr>
            <w:tcW w:type="pct" w:w="30%"/>
            <w:shd w:fill="D9E2F3" w:color="auto" w:val="clear"/>
          </w:tcPr>
          <w:p>
            <w:pPr>
              <w:spacing w:after="40" w:line="300"/>
              <w:jc w:val="left"/>
            </w:pPr>
            <w:r>
              <w:rPr>
                <w:rFonts w:ascii="TH Sarabun New" w:cs="TH Sarabun New" w:eastAsia="TH Sarabun New" w:hAnsi="TH Sarabun New"/>
                <w:b/>
                <w:bCs/>
                <w:sz w:val="30"/>
                <w:szCs w:val="30"/>
              </w:rPr>
              <w:t xml:space="preserve">ประเภท</w:t>
            </w:r>
          </w:p>
        </w:tc>
        <w:tc>
          <w:tcPr>
            <w:tcW w:type="pct" w:w="25%"/>
            <w:shd w:fill="D9E2F3" w:color="auto" w:val="clear"/>
          </w:tcPr>
          <w:p>
            <w:pPr>
              <w:spacing w:after="40" w:line="300"/>
              <w:jc w:val="left"/>
            </w:pPr>
            <w:r>
              <w:rPr>
                <w:rFonts w:ascii="TH Sarabun New" w:cs="TH Sarabun New" w:eastAsia="TH Sarabun New" w:hAnsi="TH Sarabun New"/>
                <w:b/>
                <w:bCs/>
                <w:sz w:val="30"/>
                <w:szCs w:val="30"/>
              </w:rPr>
              <w:t xml:space="preserve">ระดับ Self-determined</w:t>
            </w:r>
          </w:p>
        </w:tc>
        <w:tc>
          <w:tcPr>
            <w:tcW w:type="pct" w:w="45%"/>
            <w:shd w:fill="D9E2F3" w:color="auto" w:val="clear"/>
          </w:tcPr>
          <w:p>
            <w:pPr>
              <w:spacing w:after="40" w:line="300"/>
              <w:jc w:val="left"/>
            </w:pPr>
            <w:r>
              <w:rPr>
                <w:rFonts w:ascii="TH Sarabun New" w:cs="TH Sarabun New" w:eastAsia="TH Sarabun New" w:hAnsi="TH Sarabun New"/>
                <w:b/>
                <w:bCs/>
                <w:sz w:val="30"/>
                <w:szCs w:val="30"/>
              </w:rPr>
              <w:t xml:space="preserve">ลักษณะ</w:t>
            </w:r>
          </w:p>
        </w:tc>
      </w:tr>
      <w:tr>
        <w:trPr>
          <w:tblHeader w:val="false"/>
        </w:trPr>
        <w:tc>
          <w:tcPr>
            <w:tcW w:type="pct" w:w="30%"/>
          </w:tcPr>
          <w:p>
            <w:pPr>
              <w:spacing w:after="40" w:line="300"/>
              <w:jc w:val="left"/>
            </w:pPr>
            <w:r>
              <w:rPr>
                <w:rFonts w:ascii="TH Sarabun New" w:cs="TH Sarabun New" w:eastAsia="TH Sarabun New" w:hAnsi="TH Sarabun New"/>
                <w:b w:val="false"/>
                <w:bCs w:val="false"/>
                <w:sz w:val="30"/>
                <w:szCs w:val="30"/>
              </w:rPr>
              <w:t xml:space="preserve">1. Amotivation</w:t>
            </w:r>
          </w:p>
        </w:tc>
        <w:tc>
          <w:tcPr>
            <w:tcW w:type="pct" w:w="25%"/>
          </w:tcPr>
          <w:p>
            <w:pPr>
              <w:spacing w:after="40" w:line="300"/>
              <w:jc w:val="left"/>
            </w:pPr>
            <w:r>
              <w:rPr>
                <w:rFonts w:ascii="TH Sarabun New" w:cs="TH Sarabun New" w:eastAsia="TH Sarabun New" w:hAnsi="TH Sarabun New"/>
                <w:b w:val="false"/>
                <w:bCs w:val="false"/>
                <w:sz w:val="30"/>
                <w:szCs w:val="30"/>
              </w:rPr>
              <w:t xml:space="preserve">ไม่มี</w:t>
            </w:r>
          </w:p>
        </w:tc>
        <w:tc>
          <w:tcPr>
            <w:tcW w:type="pct" w:w="45%"/>
          </w:tcPr>
          <w:p>
            <w:pPr>
              <w:spacing w:after="40" w:line="300"/>
              <w:jc w:val="left"/>
            </w:pPr>
            <w:r>
              <w:rPr>
                <w:rFonts w:ascii="TH Sarabun New" w:cs="TH Sarabun New" w:eastAsia="TH Sarabun New" w:hAnsi="TH Sarabun New"/>
                <w:b w:val="false"/>
                <w:bCs w:val="false"/>
                <w:sz w:val="30"/>
                <w:szCs w:val="30"/>
              </w:rPr>
              <w:t xml:space="preserve">ไม่มีเจตนา ไม่เห็นความเชื่อมโยงระหว่างพฤติกรรมกับผล</w:t>
            </w:r>
          </w:p>
        </w:tc>
      </w:tr>
      <w:tr>
        <w:trPr>
          <w:tblHeader w:val="false"/>
        </w:trPr>
        <w:tc>
          <w:tcPr>
            <w:tcW w:type="pct" w:w="30%"/>
          </w:tcPr>
          <w:p>
            <w:pPr>
              <w:spacing w:after="40" w:line="300"/>
              <w:jc w:val="left"/>
            </w:pPr>
            <w:r>
              <w:rPr>
                <w:rFonts w:ascii="TH Sarabun New" w:cs="TH Sarabun New" w:eastAsia="TH Sarabun New" w:hAnsi="TH Sarabun New"/>
                <w:b w:val="false"/>
                <w:bCs w:val="false"/>
                <w:sz w:val="30"/>
                <w:szCs w:val="30"/>
              </w:rPr>
              <w:t xml:space="preserve">2. External Regulation</w:t>
            </w:r>
          </w:p>
        </w:tc>
        <w:tc>
          <w:tcPr>
            <w:tcW w:type="pct" w:w="25%"/>
          </w:tcPr>
          <w:p>
            <w:pPr>
              <w:spacing w:after="40" w:line="300"/>
              <w:jc w:val="left"/>
            </w:pPr>
            <w:r>
              <w:rPr>
                <w:rFonts w:ascii="TH Sarabun New" w:cs="TH Sarabun New" w:eastAsia="TH Sarabun New" w:hAnsi="TH Sarabun New"/>
                <w:b w:val="false"/>
                <w:bCs w:val="false"/>
                <w:sz w:val="30"/>
                <w:szCs w:val="30"/>
              </w:rPr>
              <w:t xml:space="preserve">ต่ำสุด</w:t>
            </w:r>
          </w:p>
        </w:tc>
        <w:tc>
          <w:tcPr>
            <w:tcW w:type="pct" w:w="45%"/>
          </w:tcPr>
          <w:p>
            <w:pPr>
              <w:spacing w:after="40" w:line="300"/>
              <w:jc w:val="left"/>
            </w:pPr>
            <w:r>
              <w:rPr>
                <w:rFonts w:ascii="TH Sarabun New" w:cs="TH Sarabun New" w:eastAsia="TH Sarabun New" w:hAnsi="TH Sarabun New"/>
                <w:b w:val="false"/>
                <w:bCs w:val="false"/>
                <w:sz w:val="30"/>
                <w:szCs w:val="30"/>
              </w:rPr>
              <w:t xml:space="preserve">ทำเพราะรางวัล/การลงโทษภายนอก</w:t>
            </w:r>
          </w:p>
        </w:tc>
      </w:tr>
      <w:tr>
        <w:trPr>
          <w:tblHeader w:val="false"/>
        </w:trPr>
        <w:tc>
          <w:tcPr>
            <w:tcW w:type="pct" w:w="30%"/>
          </w:tcPr>
          <w:p>
            <w:pPr>
              <w:spacing w:after="40" w:line="300"/>
              <w:jc w:val="left"/>
            </w:pPr>
            <w:r>
              <w:rPr>
                <w:rFonts w:ascii="TH Sarabun New" w:cs="TH Sarabun New" w:eastAsia="TH Sarabun New" w:hAnsi="TH Sarabun New"/>
                <w:b w:val="false"/>
                <w:bCs w:val="false"/>
                <w:sz w:val="30"/>
                <w:szCs w:val="30"/>
              </w:rPr>
              <w:t xml:space="preserve">3. Introjected Regulation</w:t>
            </w:r>
          </w:p>
        </w:tc>
        <w:tc>
          <w:tcPr>
            <w:tcW w:type="pct" w:w="25%"/>
          </w:tcPr>
          <w:p>
            <w:pPr>
              <w:spacing w:after="40" w:line="300"/>
              <w:jc w:val="left"/>
            </w:pPr>
            <w:r>
              <w:rPr>
                <w:rFonts w:ascii="TH Sarabun New" w:cs="TH Sarabun New" w:eastAsia="TH Sarabun New" w:hAnsi="TH Sarabun New"/>
                <w:b w:val="false"/>
                <w:bCs w:val="false"/>
                <w:sz w:val="30"/>
                <w:szCs w:val="30"/>
              </w:rPr>
              <w:t xml:space="preserve">ต่ำ</w:t>
            </w:r>
          </w:p>
        </w:tc>
        <w:tc>
          <w:tcPr>
            <w:tcW w:type="pct" w:w="45%"/>
          </w:tcPr>
          <w:p>
            <w:pPr>
              <w:spacing w:after="40" w:line="300"/>
              <w:jc w:val="left"/>
            </w:pPr>
            <w:r>
              <w:rPr>
                <w:rFonts w:ascii="TH Sarabun New" w:cs="TH Sarabun New" w:eastAsia="TH Sarabun New" w:hAnsi="TH Sarabun New"/>
                <w:b w:val="false"/>
                <w:bCs w:val="false"/>
                <w:sz w:val="30"/>
                <w:szCs w:val="30"/>
              </w:rPr>
              <w:t xml:space="preserve">ทำเพราะรู้สึกผิดหรืออายภายในตน · ไม่ได้รับเข้าเป็นของตน</w:t>
            </w:r>
          </w:p>
        </w:tc>
      </w:tr>
      <w:tr>
        <w:trPr>
          <w:tblHeader w:val="false"/>
        </w:trPr>
        <w:tc>
          <w:tcPr>
            <w:tcW w:type="pct" w:w="30%"/>
          </w:tcPr>
          <w:p>
            <w:pPr>
              <w:spacing w:after="40" w:line="300"/>
              <w:jc w:val="left"/>
            </w:pPr>
            <w:r>
              <w:rPr>
                <w:rFonts w:ascii="TH Sarabun New" w:cs="TH Sarabun New" w:eastAsia="TH Sarabun New" w:hAnsi="TH Sarabun New"/>
                <w:b w:val="false"/>
                <w:bCs w:val="false"/>
                <w:sz w:val="30"/>
                <w:szCs w:val="30"/>
              </w:rPr>
              <w:t xml:space="preserve">4. Identified Regulation</w:t>
            </w:r>
          </w:p>
        </w:tc>
        <w:tc>
          <w:tcPr>
            <w:tcW w:type="pct" w:w="25%"/>
          </w:tcPr>
          <w:p>
            <w:pPr>
              <w:spacing w:after="40" w:line="300"/>
              <w:jc w:val="left"/>
            </w:pPr>
            <w:r>
              <w:rPr>
                <w:rFonts w:ascii="TH Sarabun New" w:cs="TH Sarabun New" w:eastAsia="TH Sarabun New" w:hAnsi="TH Sarabun New"/>
                <w:b w:val="false"/>
                <w:bCs w:val="false"/>
                <w:sz w:val="30"/>
                <w:szCs w:val="30"/>
              </w:rPr>
              <w:t xml:space="preserve">ปานกลาง</w:t>
            </w:r>
          </w:p>
        </w:tc>
        <w:tc>
          <w:tcPr>
            <w:tcW w:type="pct" w:w="45%"/>
          </w:tcPr>
          <w:p>
            <w:pPr>
              <w:spacing w:after="40" w:line="300"/>
              <w:jc w:val="left"/>
            </w:pPr>
            <w:r>
              <w:rPr>
                <w:rFonts w:ascii="TH Sarabun New" w:cs="TH Sarabun New" w:eastAsia="TH Sarabun New" w:hAnsi="TH Sarabun New"/>
                <w:b w:val="false"/>
                <w:bCs w:val="false"/>
                <w:sz w:val="30"/>
                <w:szCs w:val="30"/>
              </w:rPr>
              <w:t xml:space="preserve">ตระหนักถึงคุณค่าของพฤติกรรม · เริ่มรับเข้าเป็นของตน</w:t>
            </w:r>
          </w:p>
        </w:tc>
      </w:tr>
      <w:tr>
        <w:trPr>
          <w:tblHeader w:val="false"/>
        </w:trPr>
        <w:tc>
          <w:tcPr>
            <w:tcW w:type="pct" w:w="30%"/>
          </w:tcPr>
          <w:p>
            <w:pPr>
              <w:spacing w:after="40" w:line="300"/>
              <w:jc w:val="left"/>
            </w:pPr>
            <w:r>
              <w:rPr>
                <w:rFonts w:ascii="TH Sarabun New" w:cs="TH Sarabun New" w:eastAsia="TH Sarabun New" w:hAnsi="TH Sarabun New"/>
                <w:b w:val="false"/>
                <w:bCs w:val="false"/>
                <w:sz w:val="30"/>
                <w:szCs w:val="30"/>
              </w:rPr>
              <w:t xml:space="preserve">5. Integrated Regulation</w:t>
            </w:r>
          </w:p>
        </w:tc>
        <w:tc>
          <w:tcPr>
            <w:tcW w:type="pct" w:w="25%"/>
          </w:tcPr>
          <w:p>
            <w:pPr>
              <w:spacing w:after="40" w:line="300"/>
              <w:jc w:val="left"/>
            </w:pPr>
            <w:r>
              <w:rPr>
                <w:rFonts w:ascii="TH Sarabun New" w:cs="TH Sarabun New" w:eastAsia="TH Sarabun New" w:hAnsi="TH Sarabun New"/>
                <w:b w:val="false"/>
                <w:bCs w:val="false"/>
                <w:sz w:val="30"/>
                <w:szCs w:val="30"/>
              </w:rPr>
              <w:t xml:space="preserve">สูง</w:t>
            </w:r>
          </w:p>
        </w:tc>
        <w:tc>
          <w:tcPr>
            <w:tcW w:type="pct" w:w="45%"/>
          </w:tcPr>
          <w:p>
            <w:pPr>
              <w:spacing w:after="40" w:line="300"/>
              <w:jc w:val="left"/>
            </w:pPr>
            <w:r>
              <w:rPr>
                <w:rFonts w:ascii="TH Sarabun New" w:cs="TH Sarabun New" w:eastAsia="TH Sarabun New" w:hAnsi="TH Sarabun New"/>
                <w:b w:val="false"/>
                <w:bCs w:val="false"/>
                <w:sz w:val="30"/>
                <w:szCs w:val="30"/>
              </w:rPr>
              <w:t xml:space="preserve">หลอมรวมกับค่านิยมและตัวตนของตน</w:t>
            </w:r>
          </w:p>
        </w:tc>
      </w:tr>
      <w:tr>
        <w:trPr>
          <w:tblHeader w:val="false"/>
        </w:trPr>
        <w:tc>
          <w:tcPr>
            <w:tcW w:type="pct" w:w="30%"/>
          </w:tcPr>
          <w:p>
            <w:pPr>
              <w:spacing w:after="40" w:line="300"/>
              <w:jc w:val="left"/>
            </w:pPr>
            <w:r>
              <w:rPr>
                <w:rFonts w:ascii="TH Sarabun New" w:cs="TH Sarabun New" w:eastAsia="TH Sarabun New" w:hAnsi="TH Sarabun New"/>
                <w:b w:val="false"/>
                <w:bCs w:val="false"/>
                <w:sz w:val="30"/>
                <w:szCs w:val="30"/>
              </w:rPr>
              <w:t xml:space="preserve">6. Intrinsic Motivation</w:t>
            </w:r>
          </w:p>
        </w:tc>
        <w:tc>
          <w:tcPr>
            <w:tcW w:type="pct" w:w="25%"/>
          </w:tcPr>
          <w:p>
            <w:pPr>
              <w:spacing w:after="40" w:line="300"/>
              <w:jc w:val="left"/>
            </w:pPr>
            <w:r>
              <w:rPr>
                <w:rFonts w:ascii="TH Sarabun New" w:cs="TH Sarabun New" w:eastAsia="TH Sarabun New" w:hAnsi="TH Sarabun New"/>
                <w:b w:val="false"/>
                <w:bCs w:val="false"/>
                <w:sz w:val="30"/>
                <w:szCs w:val="30"/>
              </w:rPr>
              <w:t xml:space="preserve">สูงสุด</w:t>
            </w:r>
          </w:p>
        </w:tc>
        <w:tc>
          <w:tcPr>
            <w:tcW w:type="pct" w:w="45%"/>
          </w:tcPr>
          <w:p>
            <w:pPr>
              <w:spacing w:after="40" w:line="300"/>
              <w:jc w:val="left"/>
            </w:pPr>
            <w:r>
              <w:rPr>
                <w:rFonts w:ascii="TH Sarabun New" w:cs="TH Sarabun New" w:eastAsia="TH Sarabun New" w:hAnsi="TH Sarabun New"/>
                <w:b w:val="false"/>
                <w:bCs w:val="false"/>
                <w:sz w:val="30"/>
                <w:szCs w:val="30"/>
              </w:rPr>
              <w:t xml:space="preserve">ทำเพราะสนใจ สนุก และพึงพอใจในตัวกิจกรรมเอง</w:t>
            </w:r>
          </w:p>
        </w:tc>
      </w:tr>
    </w:tbl>
    <w:p>
      <w:pPr>
        <w:spacing w:after="80" w:before="0" w:line="360"/>
        <w:ind w:firstLine="720"/>
        <w:jc w:val="both"/>
      </w:pPr>
      <w:r>
        <w:rPr>
          <w:rFonts w:ascii="TH Sarabun New" w:cs="TH Sarabun New" w:eastAsia="TH Sarabun New" w:hAnsi="TH Sarabun New"/>
          <w:sz w:val="32"/>
          <w:szCs w:val="32"/>
        </w:rPr>
        <w:t xml:space="preserve">เป้าหมายของการจัดการเรียนรู้ตาม SDT จึงไม่ใช่การ "กระโดดข้าม" จาก amotivation ไปสู่ intrinsic motivation ในทันที (ซึ่งเป็นไปไม่ได้ในห้องเรียนส่วนใหญ่) แต่เป็นการ "ขยับ" ผู้เรียนทีละขั้น จาก amotivation/external ไปสู่ identified/integrated/intrinsic ผ่านการตอบสนองความต้องการพื้นฐานทางจิตวิทยา 3 ประการ ที่จะอธิบายในหัวข้อถัดไป กระบวนการขยับนี้คือสิ่งที่ COSMOS LOG ออกแบบให้เกิดขึ้นตลอด 8 EP</w:t>
      </w:r>
    </w:p>
    <w:p>
      <w:pPr>
        <w:spacing w:after="120" w:before="280"/>
        <w:jc w:val="left"/>
      </w:pPr>
      <w:r>
        <w:rPr>
          <w:rFonts w:ascii="TH Sarabun New" w:cs="TH Sarabun New" w:eastAsia="TH Sarabun New" w:hAnsi="TH Sarabun New"/>
          <w:b/>
          <w:bCs/>
          <w:sz w:val="36"/>
          <w:szCs w:val="36"/>
        </w:rPr>
        <w:t xml:space="preserve">2.5.3 ความต้องการพื้นฐานทางจิตวิทยา 3 ประการ (Basic Psychological Needs)</w:t>
      </w:r>
    </w:p>
    <w:p>
      <w:pPr>
        <w:spacing w:after="80" w:before="0" w:line="360"/>
        <w:ind w:firstLine="720"/>
        <w:jc w:val="both"/>
      </w:pPr>
      <w:r>
        <w:rPr>
          <w:rFonts w:ascii="TH Sarabun New" w:cs="TH Sarabun New" w:eastAsia="TH Sarabun New" w:hAnsi="TH Sarabun New"/>
          <w:sz w:val="32"/>
          <w:szCs w:val="32"/>
        </w:rPr>
        <w:t xml:space="preserve">Deci และ Ryan เสนอว่า การจะเลื่อนขั้นบนสเปกตรัมแรงจูงใจได้ ต้องตอบสนอง "ความต้องการพื้นฐานทางจิตวิทยา" ของมนุษย์ 3 ประการ ที่เปรียบได้กับ "วิตามิน" — เมื่อขาดจะป่วย เมื่อเพียงพอจะเติบโต ความต้องการทั้งสามนี้คือ Autonomy, Competence และ Relatedness ที่มักย่อรวมกันเป็น A·C·R</w:t>
      </w:r>
    </w:p>
    <w:p>
      <w:pPr>
        <w:spacing w:after="100" w:before="200"/>
        <w:jc w:val="left"/>
      </w:pPr>
      <w:r>
        <w:rPr>
          <w:rFonts w:ascii="TH Sarabun New" w:cs="TH Sarabun New" w:eastAsia="TH Sarabun New" w:hAnsi="TH Sarabun New"/>
          <w:b/>
          <w:bCs/>
          <w:sz w:val="34"/>
          <w:szCs w:val="34"/>
        </w:rPr>
        <w:t xml:space="preserve">(1) ความเป็นอิสระ (Autonomy)</w:t>
      </w:r>
    </w:p>
    <w:p>
      <w:pPr>
        <w:spacing w:after="80" w:before="0" w:line="360"/>
        <w:ind w:firstLine="720"/>
        <w:jc w:val="both"/>
      </w:pPr>
      <w:r>
        <w:rPr>
          <w:rFonts w:ascii="TH Sarabun New" w:cs="TH Sarabun New" w:eastAsia="TH Sarabun New" w:hAnsi="TH Sarabun New"/>
          <w:sz w:val="32"/>
          <w:szCs w:val="32"/>
        </w:rPr>
        <w:t xml:space="preserve">ความเป็นอิสระ หมายถึง ความรู้สึกว่าตนเองเป็น "ต้นกำเนิด" ของพฤติกรรมและการตัดสินใจ มีอำนาจในการเลือกเส้นทางการเรียนรู้ของตน Reeve (2009) และ Reeve, Bolt และ Cai (1999) ระบุว่า ครูที่สนับสนุน autonomy จะใช้กลวิธีที่เรียกว่า "autonomy-supportive teaching" เช่น ให้ทางเลือก รับฟังความเห็นของผู้เรียน อธิบายเหตุผลของกฎกติกา ใช้ภาษาที่ไม่บังคับ (non-controlling language) และยอมรับความรู้สึกเชิงลบของผู้เรียน ตรงกันข้ามกับ "controlling teaching" ที่ใช้คำสั่ง การลงโทษ และความกดดันเพื่อบังคับให้ผู้เรียนทำตาม</w:t>
      </w:r>
    </w:p>
    <w:p>
      <w:pPr>
        <w:spacing w:after="80" w:before="0" w:line="360"/>
        <w:ind w:firstLine="720"/>
        <w:jc w:val="both"/>
      </w:pPr>
      <w:r>
        <w:rPr>
          <w:rFonts w:ascii="TH Sarabun New" w:cs="TH Sarabun New" w:eastAsia="TH Sarabun New" w:hAnsi="TH Sarabun New"/>
          <w:sz w:val="32"/>
          <w:szCs w:val="32"/>
        </w:rPr>
        <w:t xml:space="preserve">Niemiec และ Ryan (2009) สังเคราะห์งานวิจัยและพบว่า ห้องเรียนที่ครูใช้ autonomy-supportive teaching มีนักเรียนที่แสดง intrinsic motivation สูงกว่าห้องเรียนที่ใช้ controlling teaching อย่างชัดเจน</w:t>
      </w:r>
    </w:p>
    <w:p>
      <w:pPr>
        <w:spacing w:after="80" w:before="0" w:line="360"/>
        <w:ind w:firstLine="720"/>
        <w:jc w:val="both"/>
      </w:pPr>
      <w:r>
        <w:rPr>
          <w:rFonts w:ascii="TH Sarabun New" w:cs="TH Sarabun New" w:eastAsia="TH Sarabun New" w:hAnsi="TH Sarabun New"/>
          <w:sz w:val="32"/>
          <w:szCs w:val="32"/>
        </w:rPr>
        <w:t xml:space="preserve">ในการออกแบบเกม COSMOS LOG ผู้เรียนได้เลือกเส้นทางภารกิจ เลือกพลัง HELION และเลือกลำดับในการแก้ puzzle ตอบสนอง autonomy ผ่านระบบ choice architecture ที่ผู้วิจัยได้ออกแบบไว้ใน 4-องก์ของแต่ละ EP โดยเฉพาะใน EP05 ที่มี 6 พลัง HELION ให้ผู้เล่นเลือกใช้ในจังหวะ Boss Fight และ EP08 ที่มี 5 endings ให้ผู้เล่นกำหนดอนาคตของจักรวาลตามทางเลือกที่ทำมาตลอดทั้งฤดูกาล</w:t>
      </w:r>
    </w:p>
    <w:p>
      <w:pPr>
        <w:spacing w:after="100" w:before="200"/>
        <w:jc w:val="left"/>
      </w:pPr>
      <w:r>
        <w:rPr>
          <w:rFonts w:ascii="TH Sarabun New" w:cs="TH Sarabun New" w:eastAsia="TH Sarabun New" w:hAnsi="TH Sarabun New"/>
          <w:b/>
          <w:bCs/>
          <w:sz w:val="34"/>
          <w:szCs w:val="34"/>
        </w:rPr>
        <w:t xml:space="preserve">(2) ความสามารถ (Competence)</w:t>
      </w:r>
    </w:p>
    <w:p>
      <w:pPr>
        <w:spacing w:after="80" w:before="0" w:line="360"/>
        <w:ind w:firstLine="720"/>
        <w:jc w:val="both"/>
      </w:pPr>
      <w:r>
        <w:rPr>
          <w:rFonts w:ascii="TH Sarabun New" w:cs="TH Sarabun New" w:eastAsia="TH Sarabun New" w:hAnsi="TH Sarabun New"/>
          <w:sz w:val="32"/>
          <w:szCs w:val="32"/>
        </w:rPr>
        <w:t xml:space="preserve">ความสามารถ หมายถึง ความรู้สึกว่าตนเองสามารถจัดการกับสภาพแวดล้อมและทำสิ่งต่าง ๆ ได้อย่างมีประสิทธิภาพ Deci และ Ryan (2000) เน้นว่า competence ไม่ใช่ "ความสามารถจริง" แต่เป็น "การรับรู้ความสามารถ" (perceived competence) ดังนั้น แม้ผู้เรียนจะตอบโจทย์ผิดในตอนแรก แต่หากออกแบบ scaffolding ให้ผู้เรียนมองเห็นความก้าวหน้าของตนเองในแต่ละก้าว ก็จะรับรู้ว่าตนเอง "ทำได้"</w:t>
      </w:r>
    </w:p>
    <w:p>
      <w:pPr>
        <w:spacing w:after="80" w:before="0" w:line="360"/>
        <w:ind w:firstLine="720"/>
        <w:jc w:val="both"/>
      </w:pPr>
      <w:r>
        <w:rPr>
          <w:rFonts w:ascii="TH Sarabun New" w:cs="TH Sarabun New" w:eastAsia="TH Sarabun New" w:hAnsi="TH Sarabun New"/>
          <w:sz w:val="32"/>
          <w:szCs w:val="32"/>
        </w:rPr>
        <w:t xml:space="preserve">Csikszentmihalyi (1990) เสนอแนวคิด flow channel ที่ความท้าทายและความสามารถต้องสมดุลกัน หากความท้าทายสูงกว่าความสามารถมาก จะเกิด anxiety หากต่ำกว่าจะเกิด boredom flow channel จึงเป็นโซนที่ผู้เรียนรับรู้ความสามารถสูงสุดและสนุกที่สุด แนวคิดของ Csikszentmihalyi กลายเป็นรากฐานของการออกแบบเกมสมัยใหม่ที่จะปรับระดับความยากให้สอดคล้องกับทักษะของผู้เล่น</w:t>
      </w:r>
    </w:p>
    <w:p>
      <w:pPr>
        <w:spacing w:after="80" w:before="0" w:line="360"/>
        <w:ind w:firstLine="720"/>
        <w:jc w:val="both"/>
      </w:pPr>
      <w:r>
        <w:rPr>
          <w:rFonts w:ascii="TH Sarabun New" w:cs="TH Sarabun New" w:eastAsia="TH Sarabun New" w:hAnsi="TH Sarabun New"/>
          <w:sz w:val="32"/>
          <w:szCs w:val="32"/>
        </w:rPr>
        <w:t xml:space="preserve">ระบบ HELION powers ที่ผู้เล่นปลดล็อกได้เมื่อเอาชนะบอส เป็นตัวแทนเชิงรูปธรรมของ competence ที่ส่งสัญญาณกลับให้ผู้เรียนรับรู้ความก้าวหน้าของตนเอง การปลดล็อกพลังใหม่หลังการเอาชนะ Boss แต่ละตัว สื่อความหมายว่า "ฉันเก่งขึ้น" ในเชิงสัญลักษณ์ ที่ทรงพลังกว่าการที่ครูบอกว่า "หนูทำได้ดีนะ" หลายเท่า เพราะเป็น feedback ที่ตัวระบบให้ ไม่ใช่ความรู้สึกของบุคคลใดบุคคลหนึ่ง</w:t>
      </w:r>
    </w:p>
    <w:p>
      <w:pPr>
        <w:spacing w:after="100" w:before="200"/>
        <w:jc w:val="left"/>
      </w:pPr>
      <w:r>
        <w:rPr>
          <w:rFonts w:ascii="TH Sarabun New" w:cs="TH Sarabun New" w:eastAsia="TH Sarabun New" w:hAnsi="TH Sarabun New"/>
          <w:b/>
          <w:bCs/>
          <w:sz w:val="34"/>
          <w:szCs w:val="34"/>
        </w:rPr>
        <w:t xml:space="preserve">(3) ความสัมพันธ์ (Relatedness)</w:t>
      </w:r>
    </w:p>
    <w:p>
      <w:pPr>
        <w:spacing w:after="80" w:before="0" w:line="360"/>
        <w:ind w:firstLine="720"/>
        <w:jc w:val="both"/>
      </w:pPr>
      <w:r>
        <w:rPr>
          <w:rFonts w:ascii="TH Sarabun New" w:cs="TH Sarabun New" w:eastAsia="TH Sarabun New" w:hAnsi="TH Sarabun New"/>
          <w:sz w:val="32"/>
          <w:szCs w:val="32"/>
        </w:rPr>
        <w:t xml:space="preserve">ความสัมพันธ์ หมายถึง ความรู้สึกผูกพันและเป็นส่วนหนึ่งของกลุ่ม Baumeister และ Leary (1995) เสนอแนวคิด "need to belong" ว่าเป็นความต้องการพื้นฐานของมนุษย์ทุกคน ที่มีรากฐานทางวิวัฒนาการ — มนุษย์ที่อยู่คนเดียวในป่าจะรอดชีวิตยากกว่ามนุษย์ที่อยู่ในกลุ่ม จึงพัฒนาความต้องการในการเชื่อมโยงกับผู้อื่นเป็นส่วนหนึ่งของพันธุกรรมเรา</w:t>
      </w:r>
    </w:p>
    <w:p>
      <w:pPr>
        <w:spacing w:after="80" w:before="0" w:line="360"/>
        <w:ind w:firstLine="720"/>
        <w:jc w:val="both"/>
      </w:pPr>
      <w:r>
        <w:rPr>
          <w:rFonts w:ascii="TH Sarabun New" w:cs="TH Sarabun New" w:eastAsia="TH Sarabun New" w:hAnsi="TH Sarabun New"/>
          <w:sz w:val="32"/>
          <w:szCs w:val="32"/>
        </w:rPr>
        <w:t xml:space="preserve">ในห้องเรียน Furrer และ Skinner (2003) พบว่า "ความรู้สึกเชื่อมโยงกับครูและเพื่อน" เป็นปัจจัยสำคัญที่ทำนาย engagement ของผู้เรียน — สำคัญกว่าความสามารถทางวิชาการเสียอีก นักเรียนที่รู้สึกว่าครูใส่ใจและเพื่อนยอมรับ จะลงทุนเรียนมากขึ้น แม้เนื้อหาจะยากก็ตาม</w:t>
      </w:r>
    </w:p>
    <w:p>
      <w:pPr>
        <w:spacing w:after="80" w:before="0" w:line="360"/>
        <w:ind w:firstLine="720"/>
        <w:jc w:val="both"/>
      </w:pPr>
      <w:r>
        <w:rPr>
          <w:rFonts w:ascii="TH Sarabun New" w:cs="TH Sarabun New" w:eastAsia="TH Sarabun New" w:hAnsi="TH Sarabun New"/>
          <w:sz w:val="32"/>
          <w:szCs w:val="32"/>
        </w:rPr>
        <w:t xml:space="preserve">ในงานวิจัยนี้ การออกแบบ narrative ที่มีตัวละคร (โบลท์ · ดร.ฮับเบิล · HELION) ระบบ leaderboard และ teacher cards ช่วยสร้างความรู้สึกร่วมเดินทางกับเพื่อนร่วมห้อง รวมถึงการที่ครูใช้ teacher pace remote เพื่อ pace นักเรียนพร้อมกันเป็นห้องเรียน ทำให้แม้จะเล่นบนเครื่องของตนเอง แต่ผู้เรียนรับรู้ว่ากำลัง "ผจญภัยพร้อมกัน" กับเพื่อนทั้งห้อง — ซึ่งเป็นความรู้สึกที่ยากจะสร้างในการสอนแบบบรรยาย</w:t>
      </w:r>
    </w:p>
    <w:p>
      <w:pPr>
        <w:spacing w:after="120" w:before="280"/>
        <w:jc w:val="left"/>
      </w:pPr>
      <w:r>
        <w:rPr>
          <w:rFonts w:ascii="TH Sarabun New" w:cs="TH Sarabun New" w:eastAsia="TH Sarabun New" w:hAnsi="TH Sarabun New"/>
          <w:b/>
          <w:bCs/>
          <w:sz w:val="36"/>
          <w:szCs w:val="36"/>
        </w:rPr>
        <w:t xml:space="preserve">2.5.4 การวัดแรงจูงใจ — Intrinsic Motivation Inventory (IMI)</w:t>
      </w:r>
    </w:p>
    <w:p>
      <w:pPr>
        <w:spacing w:after="80" w:before="0" w:line="360"/>
        <w:ind w:firstLine="720"/>
        <w:jc w:val="both"/>
      </w:pPr>
      <w:r>
        <w:rPr>
          <w:rFonts w:ascii="TH Sarabun New" w:cs="TH Sarabun New" w:eastAsia="TH Sarabun New" w:hAnsi="TH Sarabun New"/>
          <w:sz w:val="32"/>
          <w:szCs w:val="32"/>
        </w:rPr>
        <w:t xml:space="preserve">การจะตรวจสอบว่า COSMOS LOG ตอบสนองความต้องการพื้นฐานทั้ง 3 มิติได้จริงหรือไม่ ผู้วิจัยต้องอาศัยเครื่องมือวัดที่มีคุณภาพ McAuley, Duncan และ Tammen (1989) พัฒนา Intrinsic Motivation Inventory (IMI) เป็นเครื่องมือวัดแรงจูงใจภายในตามกรอบ SDT ประกอบด้วย 7 มิติย่อย ได้แก่ (1) Interest/Enjoyment (2) Perceived Competence (3) Effort/Importance (4) Pressure/Tension (5) Perceived Choice (6) Value/Usefulness และ (7) Relatedness</w:t>
      </w:r>
    </w:p>
    <w:p>
      <w:pPr>
        <w:spacing w:after="80" w:before="0" w:line="360"/>
        <w:ind w:firstLine="720"/>
        <w:jc w:val="both"/>
      </w:pPr>
      <w:r>
        <w:rPr>
          <w:rFonts w:ascii="TH Sarabun New" w:cs="TH Sarabun New" w:eastAsia="TH Sarabun New" w:hAnsi="TH Sarabun New"/>
          <w:sz w:val="32"/>
          <w:szCs w:val="32"/>
        </w:rPr>
        <w:t xml:space="preserve">ในงานวิจัยนี้ ผู้วิจัยปรับใช้ IMI ฉบับสั้น 21 ข้อ ที่เน้น 3 มิติหลักที่สอดคล้องกับ A·C·R โดยตรง ได้แก่ Autonomy → Perceived Choice, Competence → Perceived Competence, Relatedness → Relatedness สอดคล้องกับงานของ Tsai, Tsai และ Lin (2015) ที่บูรณาการ IMI เข้ากับการประเมินเกมการเรียนรู้ การใช้ฉบับสั้น 21 ข้อนี้ทำให้นักเรียน ม.5 สามารถตอบได้ภายใน 10–12 นาที โดยไม่เกิดความเหนื่อยล้าจากการตอบ ซึ่งอาจส่งผลต่อความน่าเชื่อถือของข้อมูล</w:t>
      </w:r>
    </w:p>
    <w:p>
      <w:pPr>
        <w:spacing w:after="120" w:before="280"/>
        <w:jc w:val="left"/>
      </w:pPr>
      <w:r>
        <w:rPr>
          <w:rFonts w:ascii="TH Sarabun New" w:cs="TH Sarabun New" w:eastAsia="TH Sarabun New" w:hAnsi="TH Sarabun New"/>
          <w:b/>
          <w:bCs/>
          <w:sz w:val="36"/>
          <w:szCs w:val="36"/>
        </w:rPr>
        <w:t xml:space="preserve">2.5.5 หลักฐานเชิงประจักษ์ในบริบทเทคโนโลยีการศึกษา</w:t>
      </w:r>
    </w:p>
    <w:p>
      <w:pPr>
        <w:spacing w:after="80" w:before="0" w:line="360"/>
        <w:ind w:firstLine="720"/>
        <w:jc w:val="both"/>
      </w:pPr>
      <w:r>
        <w:rPr>
          <w:rFonts w:ascii="TH Sarabun New" w:cs="TH Sarabun New" w:eastAsia="TH Sarabun New" w:hAnsi="TH Sarabun New"/>
          <w:sz w:val="32"/>
          <w:szCs w:val="32"/>
        </w:rPr>
        <w:t xml:space="preserve">การประยุกต์ SDT เข้ากับเกมและเทคโนโลยีการศึกษาเริ่มต้นอย่างจริงจังในปี 2006 เมื่อ Ryan, Rigby และ Przybylski (2006) เสนอ Player Experience of Need Satisfaction (PENS) ซึ่งเป็นเครื่องมือวัดความพึงพอใจต่อความต้องการพื้นฐานในเกม และพบว่า ความพึงพอใจต่อ A·C·R เป็นตัวทำนายความสนุก ความตั้งใจเล่นต่อเนื่อง และความรู้สึกผูกพันกับเกม ผลการวิจัยนี้ทำให้วงการการออกแบบเกมหันมาใช้ SDT เป็นกรอบหลักในการออกแบบประสบการณ์ของผู้เล่น แทนที่จะเน้นเพียง "การให้รางวัล" แบบเดิม</w:t>
      </w:r>
    </w:p>
    <w:p>
      <w:pPr>
        <w:spacing w:after="80" w:before="0" w:line="360"/>
        <w:ind w:firstLine="720"/>
        <w:jc w:val="both"/>
      </w:pPr>
      <w:r>
        <w:rPr>
          <w:rFonts w:ascii="TH Sarabun New" w:cs="TH Sarabun New" w:eastAsia="TH Sarabun New" w:hAnsi="TH Sarabun New"/>
          <w:sz w:val="32"/>
          <w:szCs w:val="32"/>
        </w:rPr>
        <w:t xml:space="preserve">ในวงการการศึกษา Tsai, Tsai และ Lin (2015) บูรณาการ SDT เข้ากับเกมการเรียนรู้และพบว่า เกมที่สนับสนุนความต้องการพื้นฐานทั้ง 3 มิติ (A·C·R) สามารถเพิ่มแรงจูงใจภายในของผู้เรียนได้อย่างมีนัยสำคัญ นอกจากนี้ Howard และคณะ (2024) ได้ทำ meta-analysis ขนาดใหญ่จากงานวิจัย 144 ฉบับ พบว่า การตอบสนองความต้องการพื้นฐานทั้ง 3 มิติมีความสัมพันธ์ทางบวกกับ academic achievement (r = 0.27) · engagement (r = 0.45) · well-being (r = 0.52) อย่างมีนัยสำคัญทางสถิติในนักเรียนทุกระดับ — ซึ่งเป็นค่าสัมประสิทธิ์สหสัมพันธ์ที่นับว่าสูงในวงการสังคมศาสตร์</w:t>
      </w:r>
    </w:p>
    <w:p>
      <w:pPr>
        <w:spacing w:after="80" w:before="0" w:line="360"/>
        <w:ind w:firstLine="720"/>
        <w:jc w:val="both"/>
      </w:pPr>
      <w:r>
        <w:rPr>
          <w:rFonts w:ascii="TH Sarabun New" w:cs="TH Sarabun New" w:eastAsia="TH Sarabun New" w:hAnsi="TH Sarabun New"/>
          <w:sz w:val="32"/>
          <w:szCs w:val="32"/>
        </w:rPr>
        <w:t xml:space="preserve">การที่ engagement (r = 0.45) มีค่าสูงกว่า academic achievement (r = 0.27) สะท้อนข้อความสำคัญที่ผู้วิจัยยึดเป็นปรัชญาในการออกแบบ COSMOS LOG ว่า "ก่อนที่นักเรียนจะเรียนรู้ได้ ต้องอยากเรียนก่อน" และ SDT ก็ให้แผนที่ที่ชัดเจนในการสร้างความ "อยากเรียน" นั้น นี่คือเหตุผลที่ผู้วิจัยใช้ SDT เป็นเสาคู่กับ active learning ในการออกแบบนวัตกรรมในงานวิจัยนี้</w:t>
      </w:r>
    </w:p>
    <w:p>
      <w:pPr>
        <w:spacing w:after="80" w:before="0" w:line="360"/>
        <w:ind w:firstLine="720"/>
        <w:jc w:val="both"/>
      </w:pPr>
      <w:r>
        <w:rPr>
          <w:rFonts w:ascii="TH Sarabun New" w:cs="TH Sarabun New" w:eastAsia="TH Sarabun New" w:hAnsi="TH Sarabun New"/>
          <w:sz w:val="32"/>
          <w:szCs w:val="32"/>
        </w:rPr>
        <w:t xml:space="preserve">สรุปพาร์ทแรกของบทที่ 2 ผู้วิจัยได้วางรากฐาน 5 เสาไว้แล้ว ได้แก่ หลักสูตรและรายวิชา ว 30105 (2.1) กระบวนการ R&amp;D 4 ระยะ (2.2) แผนการจัดการเรียนรู้และเกณฑ์ E1/E2 (2.3) แนวคิดการเรียนรู้เชิงรุก (2.4) และทฤษฎีการกำหนดตนเอง (2.5) ทั้งห้าเสานี้คือฐานที่ COSMOS LOG จะตั้งอยู่ ในพาร์ทถัดไป (ส่วนที่ 2.6–2.11) ผู้วิจัยจะอธิบายว่าฐานเหล่านี้ถูกหลอมรวมเข้ากับการออกแบบเกมดิจิทัลและรูปแบบ 4-องก์เฉพาะของผู้วิจัยอย่างไร และมีงานวิจัยใดบ้างที่สนับสนุนการเดินทางครั้งนี้</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 New" w:cs="TH Sarabun New" w:eastAsia="TH Sarabun New" w:hAnsi="TH Sarabun New"/>
        <w:sz w:val="32"/>
        <w:szCs w:val="3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 New" w:cs="TH Sarabun New" w:eastAsia="TH Sarabun New" w:hAnsi="TH Sarabun New"/>
        <w:sz w:val="32"/>
        <w:szCs w:val="3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รายงานวิจัย บทที่ 2 (พรรณนา) พาร์ท A</dc:title>
  <dc:creator>Komen Papato</dc:creator>
  <cp:lastModifiedBy>Un-named</cp:lastModifiedBy>
  <cp:revision>1</cp:revision>
  <dcterms:created xsi:type="dcterms:W3CDTF">2026-05-04T17:11:24.961Z</dcterms:created>
  <dcterms:modified xsi:type="dcterms:W3CDTF">2026-05-04T17:11:24.966Z</dcterms:modified>
</cp:coreProperties>
</file>

<file path=docProps/custom.xml><?xml version="1.0" encoding="utf-8"?>
<Properties xmlns="http://schemas.openxmlformats.org/officeDocument/2006/custom-properties" xmlns:vt="http://schemas.openxmlformats.org/officeDocument/2006/docPropsVTypes"/>
</file>