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H Sarabun New" w:cs="TH Sarabun New" w:eastAsia="TH Sarabun New" w:hAnsi="TH Sarabun New"/>
          <w:b/>
          <w:bCs/>
          <w:sz w:val="44"/>
          <w:szCs w:val="44"/>
        </w:rPr>
        <w:t xml:space="preserve">บทที่ 2 (ต่อ)</w:t>
      </w:r>
    </w:p>
    <w:p>
      <w:pPr>
        <w:spacing w:after="480"/>
        <w:jc w:val="center"/>
      </w:pPr>
      <w:r>
        <w:rPr>
          <w:rFonts w:ascii="TH Sarabun New" w:cs="TH Sarabun New" w:eastAsia="TH Sarabun New" w:hAnsi="TH Sarabun New"/>
          <w:b/>
          <w:bCs/>
          <w:sz w:val="36"/>
          <w:szCs w:val="36"/>
        </w:rPr>
        <w:t xml:space="preserve">เอกสารและงานวิจัยที่เกี่ยวข้อง — พาร์ท B (§2.6–2.11)</w:t>
      </w:r>
    </w:p>
    <w:p>
      <w:pPr>
        <w:spacing w:after="80" w:before="0" w:line="360"/>
        <w:ind w:firstLine="720"/>
        <w:jc w:val="both"/>
      </w:pPr>
      <w:r>
        <w:rPr>
          <w:rFonts w:ascii="TH Sarabun New" w:cs="TH Sarabun New" w:eastAsia="TH Sarabun New" w:hAnsi="TH Sarabun New"/>
          <w:sz w:val="32"/>
          <w:szCs w:val="32"/>
        </w:rPr>
        <w:t xml:space="preserve">       ในพาร์ทแรก (ส่วนที่ 2.1–2.5) ผู้วิจัยได้วางรากฐานทางหลักสูตร กระบวนการวิจัยและพัฒนา แผนการจัดการเรียนรู้ และทฤษฎีการเรียนรู้พื้นฐาน 2 ทฤษฎีที่เป็น "เสาคู่" ของ COSMOS LOG ได้แก่ การเรียนรู้เชิงรุกและทฤษฎีการกำหนดตนเอง ในพาร์ทที่สองนี้ ผู้วิจัยจะอธิบายต่อว่า เสาทั้งสองถูกหลอมรวมเข้ากับ "เครื่องมือ" คือเกมดิจิทัล (ส่วนที่ 2.6) และ "เป้าหมายเชิงปัญญา" คือการเปลี่ยนมโนทัศน์ที่คลาดเคลื่อน (ส่วนที่ 2.7–2.8) อย่างไร แล้วจึงเข้าสู่หัวใจของนวัตกรรมในงานวิจัยนี้ คือ รูปแบบการจัดการเรียนรู้แบบ 4-องก์ (ส่วนที่ 2.9) ก่อนปิดท้ายด้วยการวัดความพึงพอใจ (ส่วนที่ 2.10) และการสำรวจงานวิจัยที่เกี่ยวข้องเพื่อระบุช่องว่างทางวิชาการที่งานวิจัยนี้ต้องการเติมเต็ม (ส่วนที่ 2.11)</w:t>
      </w:r>
    </w:p>
    <w:p>
      <w:pPr>
        <w:spacing w:after="160" w:before="360"/>
      </w:pPr>
      <w:r>
        <w:rPr>
          <w:rFonts w:ascii="TH Sarabun New" w:cs="TH Sarabun New" w:eastAsia="TH Sarabun New" w:hAnsi="TH Sarabun New"/>
          <w:b/>
          <w:bCs/>
          <w:sz w:val="40"/>
          <w:szCs w:val="40"/>
        </w:rPr>
        <w:t xml:space="preserve">2.6  การเรียนรู้ผ่านเกมดิจิทัล (Digital Game-Based Learning: DGBL)</w:t>
      </w:r>
    </w:p>
    <w:p>
      <w:pPr>
        <w:spacing w:after="80" w:before="0" w:line="360"/>
        <w:ind w:firstLine="720"/>
        <w:jc w:val="both"/>
      </w:pPr>
      <w:r>
        <w:rPr>
          <w:rFonts w:ascii="TH Sarabun New" w:cs="TH Sarabun New" w:eastAsia="TH Sarabun New" w:hAnsi="TH Sarabun New"/>
          <w:sz w:val="32"/>
          <w:szCs w:val="32"/>
        </w:rPr>
        <w:t xml:space="preserve">Active Learning บอกเราว่าผู้เรียนควรลงมือทำ และ SDT บอกว่าผู้เรียนต้องรู้สึกอิสระ มีความสามารถ และเชื่อมโยงกับผู้อื่น แต่คำถามต่อมาคือ จะใช้ "สื่อ" อะไรในการสร้างประสบการณ์เหล่านั้น โดยเฉพาะกับเนื้อหาดาราศาสตร์ที่เป็นเรื่อง "ระดับจักรวาล" ซึ่งทดลองในห้องเรียนไม่ได้ การเรียนรู้ผ่านเกมดิจิทัล (Digital Game-Based Learning หรือ DGBL) จึงกลายเป็นทางเลือกที่ทรงพลัง เพราะเกมเป็นสื่อเดียวในประวัติศาสตร์ที่สามารถสร้างประสบการณ์ตรงเสมือน ตอบสนอง 3 ความต้องการของ SDT และจัดกิจกรรม active learning ทั้งหมดได้ในแพลตฟอร์มเดียว</w:t>
      </w:r>
    </w:p>
    <w:p>
      <w:pPr>
        <w:spacing w:after="120" w:before="280"/>
      </w:pPr>
      <w:r>
        <w:rPr>
          <w:rFonts w:ascii="TH Sarabun New" w:cs="TH Sarabun New" w:eastAsia="TH Sarabun New" w:hAnsi="TH Sarabun New"/>
          <w:b/>
          <w:bCs/>
          <w:sz w:val="36"/>
          <w:szCs w:val="36"/>
        </w:rPr>
        <w:t xml:space="preserve">2.6.1 ความหมายของ DGBL</w:t>
      </w:r>
    </w:p>
    <w:p>
      <w:pPr>
        <w:spacing w:after="80" w:before="0" w:line="360"/>
        <w:ind w:firstLine="720"/>
        <w:jc w:val="both"/>
      </w:pPr>
      <w:r>
        <w:rPr>
          <w:rFonts w:ascii="TH Sarabun New" w:cs="TH Sarabun New" w:eastAsia="TH Sarabun New" w:hAnsi="TH Sarabun New"/>
          <w:sz w:val="32"/>
          <w:szCs w:val="32"/>
        </w:rPr>
        <w:t xml:space="preserve">Marc Prensky (2001) นักวิชาการที่บัญญัติคำว่า "digital natives" ขึ้น ในหนังสือเล่มสำคัญชื่อ Digital Game-Based Learning ได้นิยาม DGBL ว่าเป็น "การเรียนรู้ที่บูรณาการเนื้อหาวิชาการ (educational content) เข้ากับ video games อย่างมีจุดมุ่งหมาย เพื่อให้ผู้เรียนมีส่วนร่วม สนุกสนาน และได้รับความรู้ในเวลาเดียวกัน" ต่อมา Plass, Mayer และ Homer (2020) ในหนังสือ Handbook of Game-Based Learning ได้ขยายนิยามว่า DGBL คือ การจัดการเรียนรู้ที่ใช้เกมดิจิทัลเป็นสื่อหลักหรือสื่อเสริม โดยเกมต้องได้รับการออกแบบให้รวมเนื้อหาวิชาการกับ game mechanics อย่างกลมกลืน (integration หรือ harmonization)</w:t>
      </w:r>
    </w:p>
    <w:p>
      <w:pPr>
        <w:spacing w:after="80" w:before="0" w:line="360"/>
        <w:ind w:firstLine="720"/>
        <w:jc w:val="both"/>
      </w:pPr>
      <w:r>
        <w:rPr>
          <w:rFonts w:ascii="TH Sarabun New" w:cs="TH Sarabun New" w:eastAsia="TH Sarabun New" w:hAnsi="TH Sarabun New"/>
          <w:sz w:val="32"/>
          <w:szCs w:val="32"/>
        </w:rPr>
        <w:t xml:space="preserve">ความเข้าใจผิดที่พบบ่อยคือ การเหมารวม "gamification" กับ "game-based learning" เป็นเรื่องเดียวกัน ทั้งที่ทั้งสองแนวคิดต่างกันในระดับลึก</w:t>
      </w:r>
    </w:p>
    <w:p>
      <w:pPr>
        <w:spacing w:after="120" w:before="120" w:line="320"/>
        <w:ind w:left="720" w:right="720"/>
        <w:jc w:val="both"/>
      </w:pPr>
      <w:r>
        <w:rPr>
          <w:rFonts w:ascii="TH Sarabun New" w:cs="TH Sarabun New" w:eastAsia="TH Sarabun New" w:hAnsi="TH Sarabun New"/>
          <w:i/>
          <w:iCs/>
          <w:sz w:val="32"/>
          <w:szCs w:val="32"/>
        </w:rPr>
        <w:t xml:space="preserve">"ความแตกต่างระหว่าง gamification และ game-based learning อยู่ที่ความลึก: gamification เพิ่มเพียงองค์ประกอบของเกม (point/badge/leaderboard) ในกิจกรรมเดิม ขณะที่ game-based learning ออกแบบให้ทั้งระบบเป็นเกมตั้งแต่ต้น"</w:t>
      </w:r>
      <w:r>
        <w:rPr>
          <w:rFonts w:ascii="TH Sarabun New" w:cs="TH Sarabun New" w:eastAsia="TH Sarabun New" w:hAnsi="TH Sarabun New"/>
          <w:color w:val="595959"/>
          <w:sz w:val="30"/>
          <w:szCs w:val="30"/>
        </w:rPr>
        <w:t xml:space="preserve">  — Plass et al., 2020</w:t>
      </w:r>
    </w:p>
    <w:p>
      <w:pPr>
        <w:spacing w:after="80" w:before="0" w:line="360"/>
        <w:ind w:firstLine="720"/>
        <w:jc w:val="both"/>
      </w:pPr>
      <w:r>
        <w:rPr>
          <w:rFonts w:ascii="TH Sarabun New" w:cs="TH Sarabun New" w:eastAsia="TH Sarabun New" w:hAnsi="TH Sarabun New"/>
          <w:sz w:val="32"/>
          <w:szCs w:val="32"/>
        </w:rPr>
        <w:t xml:space="preserve">ความแตกต่างนี้สำคัญต่องานวิจัยปัจจุบัน เพราะ COSMOS LOG ไม่ใช่การเอาแบบฝึกหัดเดิมมาแปะ "เหรียญตรา" แต่เป็นการออกแบบประสบการณ์ทั้งหมดในรูปของเกมตั้งแต่หน้าเปิดของแต่ละ EP ไปจนถึงหน้าจบ — เป็น game-based learning ในความหมายที่เข้มข้นที่สุด</w:t>
      </w:r>
    </w:p>
    <w:p>
      <w:pPr>
        <w:spacing w:after="120" w:before="280"/>
      </w:pPr>
      <w:r>
        <w:rPr>
          <w:rFonts w:ascii="TH Sarabun New" w:cs="TH Sarabun New" w:eastAsia="TH Sarabun New" w:hAnsi="TH Sarabun New"/>
          <w:b/>
          <w:bCs/>
          <w:sz w:val="36"/>
          <w:szCs w:val="36"/>
        </w:rPr>
        <w:t xml:space="preserve">2.6.2 ประเภทของเกมเพื่อการเรียนรู้</w:t>
      </w:r>
    </w:p>
    <w:p>
      <w:pPr>
        <w:spacing w:after="80" w:before="0" w:line="360"/>
        <w:ind w:firstLine="720"/>
        <w:jc w:val="both"/>
      </w:pPr>
      <w:r>
        <w:rPr>
          <w:rFonts w:ascii="TH Sarabun New" w:cs="TH Sarabun New" w:eastAsia="TH Sarabun New" w:hAnsi="TH Sarabun New"/>
          <w:sz w:val="32"/>
          <w:szCs w:val="32"/>
        </w:rPr>
        <w:t xml:space="preserve">Prensky (2001) จำแนกเกมการเรียนรู้ออกเป็น 5 ประเภท ตามลักษณะของเนื้อหาและวัตถุประสงค์การเรียนรู้ ได้แก่ (1) Action games — สนุก ตื่นเต้น เน้นทักษะทางกาย (2) Adventure games — แก้ปริศนา สำรวจ (3) Role-playing games (RPG) — สวมบทบาทตัวละคร พัฒนาตัวละคร (4) Simulation games — จำลองสถานการณ์จริง และ (5) Strategy games — วางแผน บริหารทรัพยากร โดย COSMOS LOG ของผู้วิจัยจัดอยู่ในประเภท "narrative-driven adventure RPG" ที่บูรณาการ simulation puzzles ในแต่ละ EP — กล่าวคือ มี story arc ขนาดยาว ผู้เล่นสวมบทบาทนักบินอวกาศ Bolt ที่ต้องเดินทางสำรวจจักรวาลและพัฒนาพลัง HELION เพิ่มขึ้นในแต่ละตอน ผสมผสานกับ puzzle ปฏิบัติที่ใช้ฟิสิกส์จริงเป็นกลไก</w:t>
      </w:r>
    </w:p>
    <w:p>
      <w:pPr>
        <w:spacing w:after="120" w:before="280"/>
      </w:pPr>
      <w:r>
        <w:rPr>
          <w:rFonts w:ascii="TH Sarabun New" w:cs="TH Sarabun New" w:eastAsia="TH Sarabun New" w:hAnsi="TH Sarabun New"/>
          <w:b/>
          <w:bCs/>
          <w:sz w:val="36"/>
          <w:szCs w:val="36"/>
        </w:rPr>
        <w:t xml:space="preserve">2.6.3 หลักการออกแบบเกมเพื่อการเรียนรู้</w:t>
      </w:r>
    </w:p>
    <w:p>
      <w:pPr>
        <w:spacing w:after="100" w:before="200"/>
      </w:pPr>
      <w:r>
        <w:rPr>
          <w:rFonts w:ascii="TH Sarabun New" w:cs="TH Sarabun New" w:eastAsia="TH Sarabun New" w:hAnsi="TH Sarabun New"/>
          <w:b/>
          <w:bCs/>
          <w:sz w:val="34"/>
          <w:szCs w:val="34"/>
        </w:rPr>
        <w:t xml:space="preserve">(1) หลักการ 36 ประการของ Gee (2003)</w:t>
      </w:r>
    </w:p>
    <w:p>
      <w:pPr>
        <w:spacing w:after="80" w:before="0" w:line="360"/>
        <w:ind w:firstLine="720"/>
        <w:jc w:val="both"/>
      </w:pPr>
      <w:r>
        <w:rPr>
          <w:rFonts w:ascii="TH Sarabun New" w:cs="TH Sarabun New" w:eastAsia="TH Sarabun New" w:hAnsi="TH Sarabun New"/>
          <w:sz w:val="32"/>
          <w:szCs w:val="32"/>
        </w:rPr>
        <w:t xml:space="preserve">James Paul Gee นักวิชาการด้านภาษาศาสตร์ที่ผันตัวมาศึกษาวิดีโอเกม ได้ตีพิมพ์หนังสือ What Video Games Have to Teach Us About Learning and Literacy ในปี 2003 ที่กลายเป็นหนังสือพื้นฐานของวงการ Gee เสนอหลักการเรียนรู้ 36 ประการที่เกมที่ดีมี โดยจำแนกเป็น 3 กลุ่มใหญ่ ได้แก่</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Empowered Learners — ผู้เรียนรู้สึกมีอำนาจ เลือกได้ มีส่วนร่วมในการสร้างความหมาย</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Problem Solving — เผชิญปัญหาที่ออกแบบเหมาะสม มี just-in-time learning</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Understanding — เข้าใจระบบ มี smart tools และเรียนรู้ผ่านการปฏิบัติ</w:t>
      </w:r>
    </w:p>
    <w:p>
      <w:pPr>
        <w:spacing w:after="80" w:before="0" w:line="360"/>
        <w:ind w:firstLine="720"/>
        <w:jc w:val="both"/>
      </w:pPr>
      <w:r>
        <w:rPr>
          <w:rFonts w:ascii="TH Sarabun New" w:cs="TH Sarabun New" w:eastAsia="TH Sarabun New" w:hAnsi="TH Sarabun New"/>
          <w:sz w:val="32"/>
          <w:szCs w:val="32"/>
        </w:rPr>
        <w:t xml:space="preserve">ตัวอย่างหลักการสำคัญที่ผู้วิจัยนำมาใช้ใน COSMOS LOG เช่น Cycles of Expertise (เกมพาผู้เล่นวนรอบของการเรียน-ทดสอบ-เชี่ยวชาญ-เผชิญสิ่งใหม่ ซึ่งคือโครงสร้าง 4-องก์ของแต่ละ EP) · Pleasantly Frustrating (ความท้าทายระดับยากปานกลาง ที่ Boss Fight ทุกตัวต้องผ่านการ playtest ปรับระดับ) · Smart Tools and Distributed Knowledge (ผู้เล่นไม่ต้องรู้ทุกอย่าง · ระบบ hint และเครื่องคำนวณช่วยกระจายภาระทางปัญญา)</w:t>
      </w:r>
    </w:p>
    <w:p>
      <w:pPr>
        <w:spacing w:after="100" w:before="200"/>
      </w:pPr>
      <w:r>
        <w:rPr>
          <w:rFonts w:ascii="TH Sarabun New" w:cs="TH Sarabun New" w:eastAsia="TH Sarabun New" w:hAnsi="TH Sarabun New"/>
          <w:b/>
          <w:bCs/>
          <w:sz w:val="34"/>
          <w:szCs w:val="34"/>
        </w:rPr>
        <w:t xml:space="preserve">(2) Plass, Homer และ Kinzer (2015) — 4 องค์ประกอบ</w:t>
      </w:r>
    </w:p>
    <w:p>
      <w:pPr>
        <w:spacing w:after="80" w:before="0" w:line="360"/>
        <w:ind w:firstLine="720"/>
        <w:jc w:val="both"/>
      </w:pPr>
      <w:r>
        <w:rPr>
          <w:rFonts w:ascii="TH Sarabun New" w:cs="TH Sarabun New" w:eastAsia="TH Sarabun New" w:hAnsi="TH Sarabun New"/>
          <w:sz w:val="32"/>
          <w:szCs w:val="32"/>
        </w:rPr>
        <w:t xml:space="preserve">Plass, Homer และ Kinzer (2015) สังเคราะห์กรอบแนวคิดการเรียนรู้ผ่านเกม ระบุองค์ประกอบสำคัญ 4 ประการ ได้แก่ (1) Cognitive — การประมวลผลข้อมูลและการคิดของผู้เล่น (2) Motivational — แรงจูงใจที่เกิดจาก challenge, curiosity, control และ fantasy (3) Affective — อารมณ์และความรู้สึกระหว่างเล่น เช่น ความเพลิดเพลิน ความตื่นเต้น ความภาคภูมิใจ (4) Sociocultural — การเรียนรู้ผ่านการมีปฏิสัมพันธ์กับผู้อื่น กรอบของ Plass มีคุณค่าเป็นพิเศษเพราะเตือนให้ผู้ออกแบบเกมไม่ละเลยมิติ Affective ที่มักถูกมองข้ามในงานวิจัยทางการศึกษาที่เน้นเฉพาะ Cognitive</w:t>
      </w:r>
    </w:p>
    <w:p>
      <w:pPr>
        <w:spacing w:after="100" w:before="200"/>
      </w:pPr>
      <w:r>
        <w:rPr>
          <w:rFonts w:ascii="TH Sarabun New" w:cs="TH Sarabun New" w:eastAsia="TH Sarabun New" w:hAnsi="TH Sarabun New"/>
          <w:b/>
          <w:bCs/>
          <w:sz w:val="34"/>
          <w:szCs w:val="34"/>
        </w:rPr>
        <w:t xml:space="preserve">(3) Prensky (2001) — 6 องค์ประกอบของเกมที่ดี</w:t>
      </w:r>
    </w:p>
    <w:p>
      <w:pPr>
        <w:spacing w:after="80" w:before="0" w:line="360"/>
        <w:ind w:firstLine="720"/>
        <w:jc w:val="both"/>
      </w:pPr>
      <w:r>
        <w:rPr>
          <w:rFonts w:ascii="TH Sarabun New" w:cs="TH Sarabun New" w:eastAsia="TH Sarabun New" w:hAnsi="TH Sarabun New"/>
          <w:sz w:val="32"/>
          <w:szCs w:val="32"/>
        </w:rPr>
        <w:t xml:space="preserve">Prensky เสนอว่า เกมการเรียนรู้ที่ดีต้องมีองค์ประกอบ 6 ส่วน ได้แก่ (1) Rules — กติกาที่ชัดเจน (2) Goals &amp; objectives — เป้าหมาย (3) Outcomes &amp; feedback — ผลลัพธ์และ feedback ทันที (4) Conflict/competition/challenge — ความขัดแย้ง/ท้าทาย (5) Interaction — ปฏิสัมพันธ์ และ (6) Representation/story — การนำเสนอ/เรื่องเล่า ซึ่งทั้ง 6 องค์ประกอบนี้ถูกบรรจุอยู่ในทุก EP ของ COSMOS LOG อย่างชัดเจน โดยเฉพาะองค์ประกอบ "Story" ที่งานวิจัยนี้ลงทุนอย่างมากเป็น narrative arc ขนาดใหญ่ครอบคลุม 8 EP</w:t>
      </w:r>
    </w:p>
    <w:p>
      <w:pPr>
        <w:spacing w:after="100" w:before="200"/>
      </w:pPr>
      <w:r>
        <w:rPr>
          <w:rFonts w:ascii="TH Sarabun New" w:cs="TH Sarabun New" w:eastAsia="TH Sarabun New" w:hAnsi="TH Sarabun New"/>
          <w:b/>
          <w:bCs/>
          <w:sz w:val="34"/>
          <w:szCs w:val="34"/>
        </w:rPr>
        <w:t xml:space="preserve">(4) Malone และ Lepper (1987) — Intrinsic Motivation in Games</w:t>
      </w:r>
    </w:p>
    <w:p>
      <w:pPr>
        <w:spacing w:after="80" w:before="0" w:line="360"/>
        <w:ind w:firstLine="720"/>
        <w:jc w:val="both"/>
      </w:pPr>
      <w:r>
        <w:rPr>
          <w:rFonts w:ascii="TH Sarabun New" w:cs="TH Sarabun New" w:eastAsia="TH Sarabun New" w:hAnsi="TH Sarabun New"/>
          <w:sz w:val="32"/>
          <w:szCs w:val="32"/>
        </w:rPr>
        <w:t xml:space="preserve">Malone และ Lepper จำแนกแหล่งของ intrinsic motivation ในเกม 4 ด้าน ได้แก่ Challenge · Curiosity · Control · Fantasy ที่นักออกแบบเกมการเรียนรู้สามารถบูรณาการเข้ากับเนื้อหาได้ ตัวอย่างเช่น Fantasy ของ COSMOS LOG คือ การสวมบทบาทนักบินอวกาศ Bolt ที่ต้องช่วยรักษาเอกภพจาก VOID — ซึ่งเป็น fantasy ที่ "endogenous" (intrinsic) กับเนื้อหาดาราศาสตร์ ไม่ใช่ fantasy ที่ "exogenous" แบบฉาบหน้าโจทย์เลขเข้าด้วยเรื่องโจรสลัด ตามที่ Malone เตือนไว้ว่าเป็นการออกแบบที่ไม่มีประสิทธิภาพ</w:t>
      </w:r>
    </w:p>
    <w:p>
      <w:pPr>
        <w:spacing w:after="120" w:before="280"/>
      </w:pPr>
      <w:r>
        <w:rPr>
          <w:rFonts w:ascii="TH Sarabun New" w:cs="TH Sarabun New" w:eastAsia="TH Sarabun New" w:hAnsi="TH Sarabun New"/>
          <w:b/>
          <w:bCs/>
          <w:sz w:val="36"/>
          <w:szCs w:val="36"/>
        </w:rPr>
        <w:t xml:space="preserve">2.6.4 บทบาทของครูในการใช้ DGBL</w:t>
      </w:r>
    </w:p>
    <w:p>
      <w:pPr>
        <w:spacing w:after="80" w:before="0" w:line="360"/>
        <w:ind w:firstLine="720"/>
        <w:jc w:val="both"/>
      </w:pPr>
      <w:r>
        <w:rPr>
          <w:rFonts w:ascii="TH Sarabun New" w:cs="TH Sarabun New" w:eastAsia="TH Sarabun New" w:hAnsi="TH Sarabun New"/>
          <w:sz w:val="32"/>
          <w:szCs w:val="32"/>
        </w:rPr>
        <w:t xml:space="preserve">การมีเกมในห้องเรียนไม่ได้แปลว่าครู "ปล่อย" ให้นักเรียนเล่นแล้วครูอ่านหนังสือพิมพ์ในมุม Hanghøj (2013) เสนอว่า ครูใน DGBL classroom มีบทบาท 4 ลักษณะที่สลับสับเปลี่ยนกันตลอดเวลา ได้แก่ (1) Instructor — สอนและทบทวนเนื้อหา (2) Playmaker — เลือกเกม กำหนดกติกา (3) Guide — ชี้แนะระหว่างเล่น (4) Evaluator — ประเมินการเรียนรู้ ในงานวิจัยนี้ ผู้วิจัย/ครูใช้ teacher pace remote และ teacher dashboard เพื่อทำหน้าที่ทั้ง 4 บทบาทพร้อมกันได้แบบ real-time ครูเห็นความก้าวหน้าของนักเรียนแต่ละคน สามารถ pace ห้องเรียนทั้งห้องให้อยู่ในจังหวะเดียวกัน ส่งการ์ดเครื่องมือ (teacher cards) ในจังหวะที่เหมาะสม และ "หยุดเกม" เพื่อสรุปบทเรียนได้ตามต้องการ</w:t>
      </w:r>
    </w:p>
    <w:p>
      <w:pPr>
        <w:spacing w:after="120" w:before="280"/>
      </w:pPr>
      <w:r>
        <w:rPr>
          <w:rFonts w:ascii="TH Sarabun New" w:cs="TH Sarabun New" w:eastAsia="TH Sarabun New" w:hAnsi="TH Sarabun New"/>
          <w:b/>
          <w:bCs/>
          <w:sz w:val="36"/>
          <w:szCs w:val="36"/>
        </w:rPr>
        <w:t xml:space="preserve">2.6.5 ข้อดีและข้อจำกัดของ DGBL</w:t>
      </w:r>
    </w:p>
    <w:p>
      <w:pPr>
        <w:spacing w:after="80" w:before="0" w:line="360"/>
        <w:ind w:firstLine="720"/>
        <w:jc w:val="both"/>
      </w:pPr>
      <w:r>
        <w:rPr>
          <w:rFonts w:ascii="TH Sarabun New" w:cs="TH Sarabun New" w:eastAsia="TH Sarabun New" w:hAnsi="TH Sarabun New"/>
          <w:b/>
          <w:bCs/>
          <w:sz w:val="32"/>
          <w:szCs w:val="32"/>
        </w:rPr>
        <w:t xml:space="preserve">ข้อดี:  </w:t>
      </w:r>
      <w:r>
        <w:rPr>
          <w:rFonts w:ascii="TH Sarabun New" w:cs="TH Sarabun New" w:eastAsia="TH Sarabun New" w:hAnsi="TH Sarabun New"/>
          <w:sz w:val="32"/>
          <w:szCs w:val="32"/>
        </w:rPr>
        <w:t xml:space="preserve">(1) เพิ่มแรงจูงใจในการเรียนรู้ (intrinsic motivation) (2) สร้างประสบการณ์ตรงเสมือน (vicarious experience) ในเนื้อหาที่ทดลองในห้องเรียนไม่ได้ (3) ให้ feedback ทันที (immediate feedback) (4) ส่งเสริม low-cost failure ที่ผู้เรียนกล้าลองผิด (5) รองรับ individualized pacing ที่ผู้เรียนเรียนเร็ว/ช้าตามจังหวะของตน และ (6) เก็บข้อมูล learning analytics ได้ละเอียด</w:t>
      </w:r>
    </w:p>
    <w:p>
      <w:pPr>
        <w:spacing w:after="80" w:before="0" w:line="360"/>
        <w:ind w:firstLine="720"/>
        <w:jc w:val="both"/>
      </w:pPr>
      <w:r>
        <w:rPr>
          <w:rFonts w:ascii="TH Sarabun New" w:cs="TH Sarabun New" w:eastAsia="TH Sarabun New" w:hAnsi="TH Sarabun New"/>
          <w:b/>
          <w:bCs/>
          <w:sz w:val="32"/>
          <w:szCs w:val="32"/>
        </w:rPr>
        <w:t xml:space="preserve">ข้อจำกัด:  </w:t>
      </w:r>
      <w:r>
        <w:rPr>
          <w:rFonts w:ascii="TH Sarabun New" w:cs="TH Sarabun New" w:eastAsia="TH Sarabun New" w:hAnsi="TH Sarabun New"/>
          <w:sz w:val="32"/>
          <w:szCs w:val="32"/>
        </w:rPr>
        <w:t xml:space="preserve">(1) ต้องใช้อุปกรณ์และอินเทอร์เน็ต (2) ครูต้องการเวลาในการพัฒนาทักษะและคุ้นเคยกับเกม (3) ต้นทุนในการพัฒนาเกมที่มีคุณภาพสูงเป็นเวลานาน (4) อาจเกิด distraction หากไม่บูรณาการเนื้อหาเข้ากับ game mechanics และ (5) ผู้ปกครองบางส่วนยังมองเกมในเชิงลบ</w:t>
      </w:r>
    </w:p>
    <w:p>
      <w:pPr>
        <w:spacing w:after="80" w:before="0" w:line="360"/>
        <w:ind w:firstLine="720"/>
        <w:jc w:val="both"/>
      </w:pPr>
      <w:r>
        <w:rPr>
          <w:rFonts w:ascii="TH Sarabun New" w:cs="TH Sarabun New" w:eastAsia="TH Sarabun New" w:hAnsi="TH Sarabun New"/>
          <w:sz w:val="32"/>
          <w:szCs w:val="32"/>
        </w:rPr>
        <w:t xml:space="preserve">ในการรับมือกับข้อจำกัดข้อ (4) ผู้วิจัยใช้หลักการ "harmonization" ของ Plass เป็นเกณฑ์ในการตรวจสอบทุก puzzle ก่อน release — กล่าวคือ ทุกการกระทำในเกมต้องมีความหมายทางวิทยาศาสตร์ ไม่ใช่เพียงการคลิกหรือลากตัวเลขสุ่ม การลาก d=1/p ใน EP03 จึงไม่ใช่แค่ "puzzle ลาก" แต่เป็นการสร้างความเข้าใจเชิง spatial ของระยะดาว ตัวอย่างเช่นนี้ทำให้ COSMOS LOG ไม่ตกหลุม "chocolate-covered broccoli"</w:t>
      </w:r>
    </w:p>
    <w:p>
      <w:pPr>
        <w:spacing w:after="120" w:before="280"/>
      </w:pPr>
      <w:r>
        <w:rPr>
          <w:rFonts w:ascii="TH Sarabun New" w:cs="TH Sarabun New" w:eastAsia="TH Sarabun New" w:hAnsi="TH Sarabun New"/>
          <w:b/>
          <w:bCs/>
          <w:sz w:val="36"/>
          <w:szCs w:val="36"/>
        </w:rPr>
        <w:t xml:space="preserve">2.6.6 หลักฐานเชิงประจักษ์</w:t>
      </w:r>
    </w:p>
    <w:p>
      <w:pPr>
        <w:spacing w:after="80" w:before="0" w:line="360"/>
        <w:ind w:firstLine="720"/>
        <w:jc w:val="both"/>
      </w:pPr>
      <w:r>
        <w:rPr>
          <w:rFonts w:ascii="TH Sarabun New" w:cs="TH Sarabun New" w:eastAsia="TH Sarabun New" w:hAnsi="TH Sarabun New"/>
          <w:sz w:val="32"/>
          <w:szCs w:val="32"/>
        </w:rPr>
        <w:t xml:space="preserve">หลักฐานเชิงประจักษ์ในวงการ DGBL ในช่วง 15 ปีที่ผ่านมามีความหนักแน่นเพิ่มขึ้นอย่างต่อเนื่อง โดยมี meta-analysis สำคัญหลายฉบับที่สรุปผลในทิศทางเดียวกัน Clark, Tanner-Smith และ Killingsworth (2016) สังเคราะห์งานวิจัย 69 ฉบับ พบว่า digital games มีผลต่อการเรียนรู้สูงกว่าการสอนแบบไม่ใช้เกมอย่างมีนัยสำคัญ (g = 0.33) โดยเฉพาะเมื่อเกมได้รับการออกแบบให้บูรณาการเนื้อหาวิชาเข้ากับ game mechanics อย่างกลมกลืน Sitzmann (2011) สังเคราะห์งานวิจัย 65 ฉบับและพบ effect size ใกล้เคียงกัน (d = 0.34 สำหรับ declarative knowledge) แต่ที่น่าสนใจที่สุดคือ effect size ของ retention อยู่ที่ d = 0.91 — แสดงว่า DGBL ส่งผลต่อ "ความคงทน" ของความรู้สูงเป็นพิเศษ</w:t>
      </w:r>
    </w:p>
    <w:p>
      <w:pPr>
        <w:spacing w:after="80" w:before="0" w:line="360"/>
        <w:ind w:firstLine="720"/>
        <w:jc w:val="both"/>
      </w:pPr>
      <w:r>
        <w:rPr>
          <w:rFonts w:ascii="TH Sarabun New" w:cs="TH Sarabun New" w:eastAsia="TH Sarabun New" w:hAnsi="TH Sarabun New"/>
          <w:sz w:val="32"/>
          <w:szCs w:val="32"/>
        </w:rPr>
        <w:t xml:space="preserve">Wouters และคณะ (2013) ทำ meta-analysis 39 งานวิจัยและพบว่า serious games มีผลดีต่อการเรียนรู้มากกว่าวิธีดั้งเดิมอย่างมีนัยสำคัญ (d = 0.29) และส่งผลต่อ retention มากกว่าด้วย (d = 0.36) สำหรับงานในยุคหลัง Mayer (2019) ที่เป็นปรมาจารย์ด้าน multimedia learning เน้นว่า เพื่อให้ DGBL ได้ผลดีจริง ต้องบูรณาการตามหลักการ "value-added research design" — ทดสอบว่าองค์ประกอบใดของเกมเพิ่มการเรียนรู้จริง องค์ประกอบใดเป็นเพียง "เครื่องประดับ" ผู้วิจัยได้นำหลักการนี้ใช้ในการออกแบบ try-out 1:1 และ small group ของชุดบทเรียน เพื่อระบุว่าฟีเจอร์ใดควรเก็บ ฟีเจอร์ใดควรปรับ หรือฟีเจอร์ใดควรตัดทิ้งก่อนนำสู่ field-test 90 คน</w:t>
      </w:r>
    </w:p>
    <w:p>
      <w:pPr>
        <w:spacing w:after="160" w:before="360"/>
      </w:pPr>
      <w:r>
        <w:rPr>
          <w:rFonts w:ascii="TH Sarabun New" w:cs="TH Sarabun New" w:eastAsia="TH Sarabun New" w:hAnsi="TH Sarabun New"/>
          <w:b/>
          <w:bCs/>
          <w:sz w:val="40"/>
          <w:szCs w:val="40"/>
        </w:rPr>
        <w:t xml:space="preserve">2.7  การเปลี่ยนแปลงมโนทัศน์ (Conceptual Change)</w:t>
      </w:r>
    </w:p>
    <w:p>
      <w:pPr>
        <w:spacing w:after="80" w:before="0" w:line="360"/>
        <w:ind w:firstLine="720"/>
        <w:jc w:val="both"/>
      </w:pPr>
      <w:r>
        <w:rPr>
          <w:rFonts w:ascii="TH Sarabun New" w:cs="TH Sarabun New" w:eastAsia="TH Sarabun New" w:hAnsi="TH Sarabun New"/>
          <w:sz w:val="32"/>
          <w:szCs w:val="32"/>
        </w:rPr>
        <w:t xml:space="preserve">การออกแบบเกมที่ดียังไม่เพียงพอ หากเป้าหมายปลายทางของผู้วิจัยคือการแก้ "มโนทัศน์ที่คลาดเคลื่อน" ของผู้เรียน จำเป็นต้องเข้าใจกลไกของการเปลี่ยนมโนทัศน์ในเชิงทฤษฎี เนื่องจากการเปลี่ยนความเข้าใจของมนุษย์ไม่ใช่การ "เพิ่มข้อมูล" เข้าไปในสมองเปล่า ๆ แต่เป็นการ "ปรับโครงสร้างความคิด" ที่มีอยู่เดิม ซึ่งในหลายกรณีเป็นเรื่องยาก ทฤษฎี Conceptual Change ได้พัฒนามาตลอด 40 ปี โดยมีมุมมองที่หลากหลายและบางครั้งขัดแย้งกัน</w:t>
      </w:r>
    </w:p>
    <w:p>
      <w:pPr>
        <w:spacing w:after="120" w:before="280"/>
      </w:pPr>
      <w:r>
        <w:rPr>
          <w:rFonts w:ascii="TH Sarabun New" w:cs="TH Sarabun New" w:eastAsia="TH Sarabun New" w:hAnsi="TH Sarabun New"/>
          <w:b/>
          <w:bCs/>
          <w:sz w:val="36"/>
          <w:szCs w:val="36"/>
        </w:rPr>
        <w:t xml:space="preserve">2.7.1 ความหมายของมโนทัศน์ทางวิทยาศาสตร์</w:t>
      </w:r>
    </w:p>
    <w:p>
      <w:pPr>
        <w:spacing w:after="80" w:before="0" w:line="360"/>
        <w:ind w:firstLine="720"/>
        <w:jc w:val="both"/>
      </w:pPr>
      <w:r>
        <w:rPr>
          <w:rFonts w:ascii="TH Sarabun New" w:cs="TH Sarabun New" w:eastAsia="TH Sarabun New" w:hAnsi="TH Sarabun New"/>
          <w:sz w:val="32"/>
          <w:szCs w:val="32"/>
        </w:rPr>
        <w:t xml:space="preserve">Bruner (1956) ในยุคบุกเบิกของจิตวิทยาเชิงปัญญา (cognitive revolution) นิยามมโนทัศน์ว่า เป็น "การจัดกลุ่ม (categorization) ของวัตถุหรือเหตุการณ์ที่มีคุณลักษณะร่วมกัน" — ซึ่งเป็นกลไกพื้นฐานที่มนุษย์ใช้ในการเข้าใจโลกที่ซับซ้อน ในทางวิทยาศาสตร์ มโนทัศน์ทางวิทยาศาสตร์หมายถึงโครงสร้างทางความคิดที่ผู้เรียนใช้เข้าใจปรากฏการณ์ทางธรรมชาติ ซึ่งสามารถเป็นได้ตั้งแต่มโนทัศน์เชิงรูปธรรม (เช่น ดาวเคราะห์) จนถึงมโนทัศน์เชิงนามธรรม (เช่น space-time) ความยากของวิชาดาราศาสตร์อยู่ที่มีมโนทัศน์เชิงนามธรรมจำนวนมาก ที่ห่างไกลจากประสบการณ์ในชีวิตประจำวันของนักเรียน</w:t>
      </w:r>
    </w:p>
    <w:p>
      <w:pPr>
        <w:spacing w:after="120" w:before="280"/>
      </w:pPr>
      <w:r>
        <w:rPr>
          <w:rFonts w:ascii="TH Sarabun New" w:cs="TH Sarabun New" w:eastAsia="TH Sarabun New" w:hAnsi="TH Sarabun New"/>
          <w:b/>
          <w:bCs/>
          <w:sz w:val="36"/>
          <w:szCs w:val="36"/>
        </w:rPr>
        <w:t xml:space="preserve">2.7.2 ทฤษฎี Conceptual Change ของ Posner และคณะ (1982)</w:t>
      </w:r>
    </w:p>
    <w:p>
      <w:pPr>
        <w:spacing w:after="80" w:before="0" w:line="360"/>
        <w:ind w:firstLine="720"/>
        <w:jc w:val="both"/>
      </w:pPr>
      <w:r>
        <w:rPr>
          <w:rFonts w:ascii="TH Sarabun New" w:cs="TH Sarabun New" w:eastAsia="TH Sarabun New" w:hAnsi="TH Sarabun New"/>
          <w:sz w:val="32"/>
          <w:szCs w:val="32"/>
        </w:rPr>
        <w:t xml:space="preserve">ทฤษฎีพื้นฐานของวงการการศึกษาวิทยาศาสตร์เกิดขึ้นในปี 1982 เมื่อ Posner, Strike, Hewson และ Gertzog ทีมนักวิจัยจาก Cornell University ได้ตีพิมพ์บทความ "Accommodation of a Scientific Conception" ซึ่งกลายเป็นบทความที่ถูกอ้างอิงมากที่สุดเรื่องหนึ่งในวงการ ผู้เขียนได้รับแรงบันดาลใจจาก Thomas Kuhn ที่อธิบายการเปลี่ยน paradigm ในวงการวิทยาศาสตร์ และนำมาประยุกต์ใช้กับการเปลี่ยนความเข้าใจในระดับบุคคล โดยเสนอว่า การเปลี่ยนมโนทัศน์ที่คลาดเคลื่อน (misconception) ไปสู่มโนทัศน์ทางวิทยาศาสตร์ (scientific conception) เกิดขึ้นเมื่อมีเงื่อนไข 4 ประการ ได้แก่</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Dissatisfaction — ผู้เรียนรู้สึกไม่พอใจกับมโนทัศน์เดิม (เกิดจาก cognitive conflict)</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Intelligibility — มโนทัศน์ใหม่เข้าใจได้</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Plausibility — มโนทัศน์ใหม่ดูสมเหตุสมผล</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Fruitfulness — มโนทัศน์ใหม่ใช้ในสถานการณ์ใหม่ได้ดีกว่ามโนทัศน์เดิม</w:t>
      </w:r>
    </w:p>
    <w:p>
      <w:pPr>
        <w:spacing w:after="80" w:before="0" w:line="360"/>
        <w:ind w:firstLine="720"/>
        <w:jc w:val="both"/>
      </w:pPr>
      <w:r>
        <w:rPr>
          <w:rFonts w:ascii="TH Sarabun New" w:cs="TH Sarabun New" w:eastAsia="TH Sarabun New" w:hAnsi="TH Sarabun New"/>
          <w:sz w:val="32"/>
          <w:szCs w:val="32"/>
        </w:rPr>
        <w:t xml:space="preserve">เงื่อนไข 4 ข้อนี้ของ Posner กลายเป็น "checklist" ที่ผู้วิจัยใช้ตรวจสอบทุก EP ของ COSMOS LOG ว่ามีกิจกรรมที่ตอบสนองครบทั้ง 4 เงื่อนไขหรือไม่ ดังจะอธิบายต่อในส่วนที่ 2.9 ของบทนี้</w:t>
      </w:r>
    </w:p>
    <w:p>
      <w:pPr>
        <w:spacing w:after="120" w:before="280"/>
      </w:pPr>
      <w:r>
        <w:rPr>
          <w:rFonts w:ascii="TH Sarabun New" w:cs="TH Sarabun New" w:eastAsia="TH Sarabun New" w:hAnsi="TH Sarabun New"/>
          <w:b/>
          <w:bCs/>
          <w:sz w:val="36"/>
          <w:szCs w:val="36"/>
        </w:rPr>
        <w:t xml:space="preserve">2.7.3 มุมมอง Hot Conceptual Change (Pintrich, Marx &amp; Boyle, 1993)</w:t>
      </w:r>
    </w:p>
    <w:p>
      <w:pPr>
        <w:spacing w:after="80" w:before="0" w:line="360"/>
        <w:ind w:firstLine="720"/>
        <w:jc w:val="both"/>
      </w:pPr>
      <w:r>
        <w:rPr>
          <w:rFonts w:ascii="TH Sarabun New" w:cs="TH Sarabun New" w:eastAsia="TH Sarabun New" w:hAnsi="TH Sarabun New"/>
          <w:sz w:val="32"/>
          <w:szCs w:val="32"/>
        </w:rPr>
        <w:t xml:space="preserve">สิบเอ็ดปีหลังจาก Posner และคณะ Pintrich, Marx และ Boyle (1993) ได้ตีพิมพ์บทความวิจารณ์ทฤษฎีของ Posner ว่าเป็น "cold conceptual change" ที่มองเฉพาะปัจจัยทางปัญญา (cognitive) แต่ละเลยปัจจัยทาง motivational, affective และ social พวกเขาเสนอ "hot conceptual change" ที่บูรณาการปัจจัย 4 กลุ่มเข้าด้วยกัน ได้แก่ (1) Goals &amp; values — เป้าหมายและค่านิยมของผู้เรียน (2) Self-efficacy — ความเชื่อมั่นในความสามารถของตน (3) Personal interest — ความสนใจส่วนตัว และ (4) Affect &amp; emotion — อารมณ์และความรู้สึกระหว่างการเรียน</w:t>
      </w:r>
    </w:p>
    <w:p>
      <w:pPr>
        <w:spacing w:after="80" w:before="0" w:line="360"/>
        <w:ind w:firstLine="720"/>
        <w:jc w:val="both"/>
      </w:pPr>
      <w:r>
        <w:rPr>
          <w:rFonts w:ascii="TH Sarabun New" w:cs="TH Sarabun New" w:eastAsia="TH Sarabun New" w:hAnsi="TH Sarabun New"/>
          <w:sz w:val="32"/>
          <w:szCs w:val="32"/>
        </w:rPr>
        <w:t xml:space="preserve">การเปลี่ยนผ่านจาก cold สู่ hot conceptual change เป็นจุดที่ทฤษฎีของ Posner กับ SDT มาบรรจบกันได้พอดี เพราะปัจจัยทั้ง 4 ที่ Pintrich เสนอ คือสิ่งเดียวกันกับที่ SDT ให้ความสำคัญ ผู้วิจัยใช้ hot conceptual change framework เป็นพื้นฐานในการบูรณาการ SDT เข้ากับการเปลี่ยนมโนทัศน์ใน COSMOS LOG ทำให้ความ "อยากเรียน" และความ "เข้าใจถูกต้อง" เกิดขึ้นไปพร้อมกัน ไม่แยกขาดจากกัน</w:t>
      </w:r>
    </w:p>
    <w:p>
      <w:pPr>
        <w:spacing w:after="120" w:before="280"/>
      </w:pPr>
      <w:r>
        <w:rPr>
          <w:rFonts w:ascii="TH Sarabun New" w:cs="TH Sarabun New" w:eastAsia="TH Sarabun New" w:hAnsi="TH Sarabun New"/>
          <w:b/>
          <w:bCs/>
          <w:sz w:val="36"/>
          <w:szCs w:val="36"/>
        </w:rPr>
        <w:t xml:space="preserve">2.7.4 มุมมอง Ontological Shift ของ Chi (1993)</w:t>
      </w:r>
    </w:p>
    <w:p>
      <w:pPr>
        <w:spacing w:after="80" w:before="0" w:line="360"/>
        <w:ind w:firstLine="720"/>
        <w:jc w:val="both"/>
      </w:pPr>
      <w:r>
        <w:rPr>
          <w:rFonts w:ascii="TH Sarabun New" w:cs="TH Sarabun New" w:eastAsia="TH Sarabun New" w:hAnsi="TH Sarabun New"/>
          <w:sz w:val="32"/>
          <w:szCs w:val="32"/>
        </w:rPr>
        <w:t xml:space="preserve">Chi (1993, 2008) ที่ University of Pittsburgh เสนอมุมมองที่ลึกเข้าไปอีกชั้นหนึ่ง โดยชี้ว่ามโนทัศน์ที่คลาดเคลื่อนมีหลายระดับความยากในการเปลี่ยนแปลง ขึ้นอยู่กับว่ามโนทัศน์ใหม่ต้องการ "การเปลี่ยน ontology" หรือไม่ การเปลี่ยน ontology หมายถึงการย้ายมโนทัศน์จาก ontological category หนึ่งไปอีกหนึ่ง เช่น จาก "matter" ไปสู่ "process" หรือจาก "object" ไปสู่ "field" การเปลี่ยน ontology เป็นกระบวนการที่ยากที่สุด เพราะต้องการการปรับโครงสร้างความคิดในระดับลึกที่สุด</w:t>
      </w:r>
    </w:p>
    <w:p>
      <w:pPr>
        <w:spacing w:after="80" w:before="0" w:line="360"/>
        <w:ind w:firstLine="720"/>
        <w:jc w:val="both"/>
      </w:pPr>
      <w:r>
        <w:rPr>
          <w:rFonts w:ascii="TH Sarabun New" w:cs="TH Sarabun New" w:eastAsia="TH Sarabun New" w:hAnsi="TH Sarabun New"/>
          <w:sz w:val="32"/>
          <w:szCs w:val="32"/>
        </w:rPr>
        <w:t xml:space="preserve">ตัวอย่างที่ชัดเจนใน COSMOS LOG: มโนทัศน์ที่ว่า "ฤดูกาลเกิดจากระยะห่างของโลกกับดวงอาทิตย์" ต้องเปลี่ยนเป็น "ฤดูกาลเกิดจาก geometric tilt ของแกนโลก" ซึ่งเป็นการเปลี่ยน ontology จาก "distance-based" เป็น "angle-based" — นักเรียนต้องเลิกคิดเรื่อง "ใกล้-ไกล" และเริ่มคิดเรื่อง "เอียง-ตั้ง" ซึ่งเป็นการเปลี่ยน category ของการให้เหตุผลทั้งหมด ไม่ใช่เพียงการแก้ค่าตัวเลข ผู้วิจัยจึงต้องออกแบบ Lab Build ใน EP05 และ EP06 ให้ผู้เรียนได้เห็น geometric model สามมิติเพื่อรองรับการเปลี่ยน ontology นี้</w:t>
      </w:r>
    </w:p>
    <w:p>
      <w:pPr>
        <w:spacing w:after="120" w:before="280"/>
      </w:pPr>
      <w:r>
        <w:rPr>
          <w:rFonts w:ascii="TH Sarabun New" w:cs="TH Sarabun New" w:eastAsia="TH Sarabun New" w:hAnsi="TH Sarabun New"/>
          <w:b/>
          <w:bCs/>
          <w:sz w:val="36"/>
          <w:szCs w:val="36"/>
        </w:rPr>
        <w:t xml:space="preserve">2.7.5 มุมมอง Knowledge in Pieces ของ diSessa (1993)</w:t>
      </w:r>
    </w:p>
    <w:p>
      <w:pPr>
        <w:spacing w:after="80" w:before="0" w:line="360"/>
        <w:ind w:firstLine="720"/>
        <w:jc w:val="both"/>
      </w:pPr>
      <w:r>
        <w:rPr>
          <w:rFonts w:ascii="TH Sarabun New" w:cs="TH Sarabun New" w:eastAsia="TH Sarabun New" w:hAnsi="TH Sarabun New"/>
          <w:sz w:val="32"/>
          <w:szCs w:val="32"/>
        </w:rPr>
        <w:t xml:space="preserve">diSessa (1993, 2002) เสนอมุมมองที่ตรงข้ามกับ Chi อย่างน่าสนใจ — ความรู้ของผู้เรียนไม่ได้เป็น "coherent theory" ที่เป็นระบบ แต่เป็น "knowledge in pieces" ที่ประกอบด้วย "p-prims" (phenomenological primitives) เล็ก ๆ จำนวนมาก เช่น p-prim "ของหนัก-ตกเร็วกว่า" หรือ "ใกล้กว่า-ร้อนกว่า" ตามมุมมองนี้ การเปลี่ยนมโนทัศน์ไม่ใช่การเปลี่ยน theory ทั้งระบบ แต่เป็นการ activate p-prims ที่ถูกต้องในบริบทที่เหมาะสม การถกเถียงระหว่าง Chi กับ diSessa ในช่วง 1990s เป็นการอภิปรายที่ยังคงมีอิทธิพลในวงการการศึกษาวิทยาศาสตร์ปัจจุบัน</w:t>
      </w:r>
    </w:p>
    <w:p>
      <w:pPr>
        <w:spacing w:after="120" w:before="280"/>
      </w:pPr>
      <w:r>
        <w:rPr>
          <w:rFonts w:ascii="TH Sarabun New" w:cs="TH Sarabun New" w:eastAsia="TH Sarabun New" w:hAnsi="TH Sarabun New"/>
          <w:b/>
          <w:bCs/>
          <w:sz w:val="36"/>
          <w:szCs w:val="36"/>
        </w:rPr>
        <w:t xml:space="preserve">2.7.6 มุมมอง Framework Theory ของ Vosniadou</w:t>
      </w:r>
    </w:p>
    <w:p>
      <w:pPr>
        <w:spacing w:after="80" w:before="0" w:line="360"/>
        <w:ind w:firstLine="720"/>
        <w:jc w:val="both"/>
      </w:pPr>
      <w:r>
        <w:rPr>
          <w:rFonts w:ascii="TH Sarabun New" w:cs="TH Sarabun New" w:eastAsia="TH Sarabun New" w:hAnsi="TH Sarabun New"/>
          <w:sz w:val="32"/>
          <w:szCs w:val="32"/>
        </w:rPr>
        <w:t xml:space="preserve">Vosniadou (2013) เสนอ "Framework Theory of Conceptual Change" ที่ผสานมุมมองของ Chi และ diSessa เข้าด้วยกัน โดยมองว่ามโนทัศน์ของผู้เรียนเป็น "mental model" ที่ฝังอยู่ใน framework ของความเข้าใจในชีวิตประจำวัน การเปลี่ยนมโนทัศน์จึงต้องอาศัยการสร้าง "bridging analogies" และการมี representation ที่หลากหลายเพื่อให้ผู้เรียนสามารถ "ก้าว" จาก framework เดิมไปยัง framework ใหม่อย่างค่อยเป็นค่อยไป Vosniadou เน้นเรื่อง metacognition — การทำให้ผู้เรียน "ตระหนักรู้" ในความคิดของตนเอง — ซึ่งเป็นเหตุผลที่ COSMOS LOG ใช้ Journal 3-2-1 เป็นกิจกรรม Reflection ปลายทุก EP</w:t>
      </w:r>
    </w:p>
    <w:p>
      <w:pPr>
        <w:spacing w:after="120" w:before="280"/>
      </w:pPr>
      <w:r>
        <w:rPr>
          <w:rFonts w:ascii="TH Sarabun New" w:cs="TH Sarabun New" w:eastAsia="TH Sarabun New" w:hAnsi="TH Sarabun New"/>
          <w:b/>
          <w:bCs/>
          <w:sz w:val="36"/>
          <w:szCs w:val="36"/>
        </w:rPr>
        <w:t xml:space="preserve">2.7.7 การประยุกต์ใช้ในงานวิจัยนี้</w:t>
      </w:r>
    </w:p>
    <w:p>
      <w:pPr>
        <w:spacing w:after="80" w:before="0" w:line="360"/>
        <w:ind w:firstLine="720"/>
        <w:jc w:val="both"/>
      </w:pPr>
      <w:r>
        <w:rPr>
          <w:rFonts w:ascii="TH Sarabun New" w:cs="TH Sarabun New" w:eastAsia="TH Sarabun New" w:hAnsi="TH Sarabun New"/>
          <w:sz w:val="32"/>
          <w:szCs w:val="32"/>
        </w:rPr>
        <w:t xml:space="preserve">ในการออกแบบ pretest ของแต่ละ EP ผู้วิจัยได้ใช้คำถามที่กระตุ้นให้นักเรียนเผชิญหน้ากับมโนทัศน์ที่คลาดเคลื่อนของตนเอง (ตอบสนองเงื่อนไข Dissatisfaction) กิจกรรมในขั้น Lab Build ช่วยสร้างมโนทัศน์ใหม่ผ่านประสบการณ์ตรงเสมือน (เงื่อนไข Intelligibility และ Plausibility) Boss Fight ให้ผู้เรียนได้ทดสอบมโนทัศน์ใหม่ในสถานการณ์ท้าทาย (เงื่อนไข Fruitfulness) ส่วน Reflection ในรูปของ Journal 3-2-1 ทำให้มโนทัศน์ใหม่ฝังลึก สอดคล้องกับเงื่อนไขทั้ง 4 ของ Posner และตอบสนองมิติ hot conceptual change ของ Pintrich การจับคู่ทฤษฎีกับ 4-องก์เช่นนี้ ทำให้แต่ละองก์ของ COSMOS LOG ไม่ใช่เพียง "ขั้นการสอน" แต่เป็น "ขั้นของการเปลี่ยนมโนทัศน์" ที่มีฐานทฤษฎีรองรับ</w:t>
      </w:r>
    </w:p>
    <w:p>
      <w:pPr>
        <w:spacing w:after="160" w:before="360"/>
      </w:pPr>
      <w:r>
        <w:rPr>
          <w:rFonts w:ascii="TH Sarabun New" w:cs="TH Sarabun New" w:eastAsia="TH Sarabun New" w:hAnsi="TH Sarabun New"/>
          <w:b/>
          <w:bCs/>
          <w:sz w:val="40"/>
          <w:szCs w:val="40"/>
        </w:rPr>
        <w:t xml:space="preserve">2.8  มโนทัศน์ที่คลาดเคลื่อนทางดาราศาสตร์</w:t>
      </w:r>
    </w:p>
    <w:p>
      <w:pPr>
        <w:spacing w:after="80" w:before="0" w:line="360"/>
        <w:ind w:firstLine="720"/>
        <w:jc w:val="both"/>
      </w:pPr>
      <w:r>
        <w:rPr>
          <w:rFonts w:ascii="TH Sarabun New" w:cs="TH Sarabun New" w:eastAsia="TH Sarabun New" w:hAnsi="TH Sarabun New"/>
          <w:sz w:val="32"/>
          <w:szCs w:val="32"/>
        </w:rPr>
        <w:t xml:space="preserve">ทฤษฎี conceptual change บอกเราว่าการเปลี่ยนมโนทัศน์เกิดขึ้นได้อย่างไร แต่คำถามถัดมาคือ "ในวิชาดาราศาสตร์ มีมโนทัศน์ใดบ้างที่ต้องเปลี่ยน" คำตอบของคำถามนี้สำคัญมาก เพราะนำไปสู่การออกแบบ pretest, distractor ของข้อสอบ และเป้าหมายเฉพาะของแต่ละ EP</w:t>
      </w:r>
    </w:p>
    <w:p>
      <w:pPr>
        <w:spacing w:after="120" w:before="280"/>
      </w:pPr>
      <w:r>
        <w:rPr>
          <w:rFonts w:ascii="TH Sarabun New" w:cs="TH Sarabun New" w:eastAsia="TH Sarabun New" w:hAnsi="TH Sarabun New"/>
          <w:b/>
          <w:bCs/>
          <w:sz w:val="36"/>
          <w:szCs w:val="36"/>
        </w:rPr>
        <w:t xml:space="preserve">2.8.1 ความหมายและที่มาของมโนทัศน์ที่คลาดเคลื่อน</w:t>
      </w:r>
    </w:p>
    <w:p>
      <w:pPr>
        <w:spacing w:after="80" w:before="0" w:line="360"/>
        <w:ind w:firstLine="720"/>
        <w:jc w:val="both"/>
      </w:pPr>
      <w:r>
        <w:rPr>
          <w:rFonts w:ascii="TH Sarabun New" w:cs="TH Sarabun New" w:eastAsia="TH Sarabun New" w:hAnsi="TH Sarabun New"/>
          <w:sz w:val="32"/>
          <w:szCs w:val="32"/>
        </w:rPr>
        <w:t xml:space="preserve">Driver, Asoko, Leach, Mortimer และ Scott (1994) ในหนังสือคลาสสิกเรื่อง Making Sense of Secondary Science นิยามมโนทัศน์ที่คลาดเคลื่อน (misconception/alternative conception) ว่าเป็น "ความเข้าใจของผู้เรียนที่แตกต่างจากมโนทัศน์ทางวิทยาศาสตร์ที่ยอมรับในปัจจุบัน" ขณะที่ Wandersee, Mintzes และ Novak (1994) จำแนกแหล่งที่มาของ misconception ออกเป็น 5 กลุ่มที่มีประโยชน์ต่อการวินิจฉัย ได้แก่</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Preconceptions — ความเข้าใจจากประสบการณ์ในชีวิตประจำวัน เช่น "ดวงอาทิตย์ขึ้นจริง" จากการเห็นทุกวัน</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Non-scientific beliefs — ความเชื่อทางศาสนา/วัฒนธรรม</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Conceptual misunderstandings — เข้าใจผิดจากการสอน</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Vernacular misconceptions — สับสนจากการใช้ภาษา เช่น "ดาวเคราะห์" กับ "ดาวฤกษ์"</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Factual misconceptions — ข้อมูลผิดจากแหล่งต่าง ๆ เช่น สื่อโซเชียลและภาพยนตร์ sci-fi</w:t>
      </w:r>
    </w:p>
    <w:p>
      <w:pPr>
        <w:spacing w:after="120" w:before="280"/>
      </w:pPr>
      <w:r>
        <w:rPr>
          <w:rFonts w:ascii="TH Sarabun New" w:cs="TH Sarabun New" w:eastAsia="TH Sarabun New" w:hAnsi="TH Sarabun New"/>
          <w:b/>
          <w:bCs/>
          <w:sz w:val="36"/>
          <w:szCs w:val="36"/>
        </w:rPr>
        <w:t xml:space="preserve">2.8.2 ความคงทนของมโนทัศน์ที่คลาดเคลื่อน</w:t>
      </w:r>
    </w:p>
    <w:p>
      <w:pPr>
        <w:spacing w:after="80" w:before="0" w:line="360"/>
        <w:ind w:firstLine="720"/>
        <w:jc w:val="both"/>
      </w:pPr>
      <w:r>
        <w:rPr>
          <w:rFonts w:ascii="TH Sarabun New" w:cs="TH Sarabun New" w:eastAsia="TH Sarabun New" w:hAnsi="TH Sarabun New"/>
          <w:sz w:val="32"/>
          <w:szCs w:val="32"/>
        </w:rPr>
        <w:t xml:space="preserve">สิ่งที่นักวิจัยทุกคนในวงการการศึกษาวิทยาศาสตร์ต้องเผชิญคือ "ความคงทน" ของมโนทัศน์ที่คลาดเคลื่อน Duit และ Treagust (2003) สรุปจากการสังเคราะห์งานวิจัยจำนวนมากว่า มโนทัศน์ที่คลาดเคลื่อนมีความคงทนสูง (resistant to change) แม้หลังการสอนตามปกติ ตัวอย่างที่กลายเป็นข่าวฮือฮาในวงการคือ Halloun และ Hestenes (1985) ที่พบว่าผู้เรียนวิชาฟิสิกส์ในมหาวิทยาลัยจำนวนมากยังคงมีมโนทัศน์ที่คลาดเคลื่อนเรื่องแรงและการเคลื่อนที่ แม้สอบผ่านวิชาฟิสิกส์เบื้องต้นไปแล้ว ผลการวิจัยนี้ทำให้ Hestenes พัฒนา Force Concept Inventory (FCI) ขึ้นมาเป็นเครื่องมือมาตรฐาน และทำให้วงการตระหนักว่า "การสอบผ่านไม่ได้แปลว่าเข้าใจ" ซึ่งเป็นข้อค้นพบที่ส่งสะเทือนวงการการสอนวิทยาศาสตร์ทั่วโลก</w:t>
      </w:r>
    </w:p>
    <w:p>
      <w:pPr>
        <w:spacing w:after="80" w:before="0" w:line="360"/>
        <w:ind w:firstLine="720"/>
        <w:jc w:val="both"/>
      </w:pPr>
      <w:r>
        <w:rPr>
          <w:rFonts w:ascii="TH Sarabun New" w:cs="TH Sarabun New" w:eastAsia="TH Sarabun New" w:hAnsi="TH Sarabun New"/>
          <w:sz w:val="32"/>
          <w:szCs w:val="32"/>
        </w:rPr>
        <w:t xml:space="preserve">ผลที่ตามมาคือการสอนแบบเดิมที่เน้นเพียงการบรรยายและการแก้โจทย์ ไม่เพียงพอต่อการเปลี่ยน misconception ครูต้องใช้วิธีการที่กระตุ้น "cognitive conflict" อย่างชัดเจน — เผชิญหน้ากับ misconception ของผู้เรียนโดยตรงและสร้างประสบการณ์ที่ทำให้ผู้เรียน "เห็นด้วยตา" ว่ามโนทัศน์เดิมใช้ไม่ได้ ซึ่งเป็นจุดที่ Lab Build ในเกม COSMOS LOG เข้ามามีบทบาท</w:t>
      </w:r>
    </w:p>
    <w:p>
      <w:pPr>
        <w:spacing w:after="120" w:before="280"/>
      </w:pPr>
      <w:r>
        <w:rPr>
          <w:rFonts w:ascii="TH Sarabun New" w:cs="TH Sarabun New" w:eastAsia="TH Sarabun New" w:hAnsi="TH Sarabun New"/>
          <w:b/>
          <w:bCs/>
          <w:sz w:val="36"/>
          <w:szCs w:val="36"/>
        </w:rPr>
        <w:t xml:space="preserve">2.8.3 มโนทัศน์ที่คลาดเคลื่อนทางดาราศาสตร์ที่พบบ่อย</w:t>
      </w:r>
    </w:p>
    <w:p>
      <w:pPr>
        <w:spacing w:after="80" w:before="0" w:line="360"/>
        <w:ind w:firstLine="720"/>
        <w:jc w:val="both"/>
      </w:pPr>
      <w:r>
        <w:rPr>
          <w:rFonts w:ascii="TH Sarabun New" w:cs="TH Sarabun New" w:eastAsia="TH Sarabun New" w:hAnsi="TH Sarabun New"/>
          <w:sz w:val="32"/>
          <w:szCs w:val="32"/>
        </w:rPr>
        <w:t xml:space="preserve">การสำรวจมโนทัศน์ที่คลาดเคลื่อนทางดาราศาสตร์มีงานวิจัยจำนวนมาก Plummer และ Krajcik (2010) Bailey (2011) และ Trumper (2001a, 2001b) ได้รวบรวมมโนทัศน์ที่คลาดเคลื่อนทางดาราศาสตร์ที่พบบ่อยในนักเรียนระดับมัธยมศึกษาและอุดมศึกษาทั่วโลก ในประเทศไทย สสวท. (2560) และงานของ ปริญญา (2563) พบรูปแบบที่ใกล้เคียงกัน ผู้วิจัยได้สังเคราะห์และคัดเลือก misconception ที่จะใช้ออกแบบ distractor ในแบบทดสอบ FT-01/FT-02 ดังตารางที่ 2.7</w:t>
      </w:r>
    </w:p>
    <w:p>
      <w:pPr>
        <w:spacing w:after="100" w:before="200"/>
      </w:pPr>
      <w:r>
        <w:rPr>
          <w:rFonts w:ascii="TH Sarabun New" w:cs="TH Sarabun New" w:eastAsia="TH Sarabun New" w:hAnsi="TH Sarabun New"/>
          <w:b/>
          <w:bCs/>
          <w:sz w:val="32"/>
          <w:szCs w:val="32"/>
        </w:rPr>
        <w:t xml:space="preserve">ตารางที่ 2.7  มโนทัศน์ที่คลาดเคลื่อนทางดาราศาสตร์ที่พบบ่อยและการแก้ไขในชุดบทเรียน</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gridCol w:w="100"/>
      </w:tblGrid>
      <w:tr>
        <w:trPr>
          <w:tblHeader/>
        </w:trPr>
        <w:tc>
          <w:tcPr>
            <w:tcW w:type="pct" w:w="8%"/>
            <w:shd w:fill="D9E2F3" w:color="auto" w:val="clear"/>
          </w:tcPr>
          <w:p>
            <w:pPr>
              <w:spacing w:after="40" w:line="300"/>
            </w:pPr>
            <w:r>
              <w:rPr>
                <w:rFonts w:ascii="TH Sarabun New" w:cs="TH Sarabun New" w:eastAsia="TH Sarabun New" w:hAnsi="TH Sarabun New"/>
                <w:b/>
                <w:bCs/>
                <w:sz w:val="30"/>
                <w:szCs w:val="30"/>
              </w:rPr>
              <w:t xml:space="preserve">รหัส</w:t>
            </w:r>
          </w:p>
        </w:tc>
        <w:tc>
          <w:tcPr>
            <w:tcW w:type="pct" w:w="35%"/>
            <w:shd w:fill="D9E2F3" w:color="auto" w:val="clear"/>
          </w:tcPr>
          <w:p>
            <w:pPr>
              <w:spacing w:after="40" w:line="300"/>
            </w:pPr>
            <w:r>
              <w:rPr>
                <w:rFonts w:ascii="TH Sarabun New" w:cs="TH Sarabun New" w:eastAsia="TH Sarabun New" w:hAnsi="TH Sarabun New"/>
                <w:b/>
                <w:bCs/>
                <w:sz w:val="30"/>
                <w:szCs w:val="30"/>
              </w:rPr>
              <w:t xml:space="preserve">มโนทัศน์ที่คลาดเคลื่อน</w:t>
            </w:r>
          </w:p>
        </w:tc>
        <w:tc>
          <w:tcPr>
            <w:tcW w:type="pct" w:w="42%"/>
            <w:shd w:fill="D9E2F3" w:color="auto" w:val="clear"/>
          </w:tcPr>
          <w:p>
            <w:pPr>
              <w:spacing w:after="40" w:line="300"/>
            </w:pPr>
            <w:r>
              <w:rPr>
                <w:rFonts w:ascii="TH Sarabun New" w:cs="TH Sarabun New" w:eastAsia="TH Sarabun New" w:hAnsi="TH Sarabun New"/>
                <w:b/>
                <w:bCs/>
                <w:sz w:val="30"/>
                <w:szCs w:val="30"/>
              </w:rPr>
              <w:t xml:space="preserve">มโนทัศน์ทางวิทยาศาสตร์</w:t>
            </w:r>
          </w:p>
        </w:tc>
        <w:tc>
          <w:tcPr>
            <w:tcW w:type="pct" w:w="15%"/>
            <w:shd w:fill="D9E2F3" w:color="auto" w:val="clear"/>
          </w:tcPr>
          <w:p>
            <w:pPr>
              <w:spacing w:after="40" w:line="300"/>
            </w:pPr>
            <w:r>
              <w:rPr>
                <w:rFonts w:ascii="TH Sarabun New" w:cs="TH Sarabun New" w:eastAsia="TH Sarabun New" w:hAnsi="TH Sarabun New"/>
                <w:b/>
                <w:bCs/>
                <w:sz w:val="30"/>
                <w:szCs w:val="30"/>
              </w:rPr>
              <w:t xml:space="preserve">EP ที่แก้ไข</w:t>
            </w:r>
          </w:p>
        </w:tc>
      </w:tr>
      <w:tr>
        <w:trPr>
          <w:tblHeader w:val="false"/>
        </w:trPr>
        <w:tc>
          <w:tcPr>
            <w:tcW w:type="pct" w:w="8%"/>
          </w:tcPr>
          <w:p>
            <w:pPr>
              <w:spacing w:after="40" w:line="300"/>
            </w:pPr>
            <w:r>
              <w:rPr>
                <w:rFonts w:ascii="TH Sarabun New" w:cs="TH Sarabun New" w:eastAsia="TH Sarabun New" w:hAnsi="TH Sarabun New"/>
                <w:b w:val="false"/>
                <w:bCs w:val="false"/>
                <w:sz w:val="30"/>
                <w:szCs w:val="30"/>
              </w:rPr>
              <w:t xml:space="preserve">M01</w:t>
            </w:r>
          </w:p>
        </w:tc>
        <w:tc>
          <w:tcPr>
            <w:tcW w:type="pct" w:w="35%"/>
          </w:tcPr>
          <w:p>
            <w:pPr>
              <w:spacing w:after="40" w:line="300"/>
            </w:pPr>
            <w:r>
              <w:rPr>
                <w:rFonts w:ascii="TH Sarabun New" w:cs="TH Sarabun New" w:eastAsia="TH Sarabun New" w:hAnsi="TH Sarabun New"/>
                <w:b w:val="false"/>
                <w:bCs w:val="false"/>
                <w:sz w:val="30"/>
                <w:szCs w:val="30"/>
              </w:rPr>
              <w:t xml:space="preserve">บิกแบงคือการระเบิดในที่ว่าง</w:t>
            </w:r>
          </w:p>
        </w:tc>
        <w:tc>
          <w:tcPr>
            <w:tcW w:type="pct" w:w="42%"/>
          </w:tcPr>
          <w:p>
            <w:pPr>
              <w:spacing w:after="40" w:line="300"/>
            </w:pPr>
            <w:r>
              <w:rPr>
                <w:rFonts w:ascii="TH Sarabun New" w:cs="TH Sarabun New" w:eastAsia="TH Sarabun New" w:hAnsi="TH Sarabun New"/>
                <w:b w:val="false"/>
                <w:bCs w:val="false"/>
                <w:sz w:val="30"/>
                <w:szCs w:val="30"/>
              </w:rPr>
              <w:t xml:space="preserve">การขยายตัวของกาลอวกาศ ไม่มีจุดศูนย์กลาง</w:t>
            </w:r>
          </w:p>
        </w:tc>
        <w:tc>
          <w:tcPr>
            <w:tcW w:type="pct" w:w="15%"/>
          </w:tcPr>
          <w:p>
            <w:pPr>
              <w:spacing w:after="40" w:line="300"/>
            </w:pPr>
            <w:r>
              <w:rPr>
                <w:rFonts w:ascii="TH Sarabun New" w:cs="TH Sarabun New" w:eastAsia="TH Sarabun New" w:hAnsi="TH Sarabun New"/>
                <w:b w:val="false"/>
                <w:bCs w:val="false"/>
                <w:sz w:val="30"/>
                <w:szCs w:val="30"/>
              </w:rPr>
              <w:t xml:space="preserve">EP01, EP08</w:t>
            </w:r>
          </w:p>
        </w:tc>
      </w:tr>
      <w:tr>
        <w:trPr>
          <w:tblHeader w:val="false"/>
        </w:trPr>
        <w:tc>
          <w:tcPr>
            <w:tcW w:type="pct" w:w="8%"/>
          </w:tcPr>
          <w:p>
            <w:pPr>
              <w:spacing w:after="40" w:line="300"/>
            </w:pPr>
            <w:r>
              <w:rPr>
                <w:rFonts w:ascii="TH Sarabun New" w:cs="TH Sarabun New" w:eastAsia="TH Sarabun New" w:hAnsi="TH Sarabun New"/>
                <w:b w:val="false"/>
                <w:bCs w:val="false"/>
                <w:sz w:val="30"/>
                <w:szCs w:val="30"/>
              </w:rPr>
              <w:t xml:space="preserve">M02</w:t>
            </w:r>
          </w:p>
        </w:tc>
        <w:tc>
          <w:tcPr>
            <w:tcW w:type="pct" w:w="35%"/>
          </w:tcPr>
          <w:p>
            <w:pPr>
              <w:spacing w:after="40" w:line="300"/>
            </w:pPr>
            <w:r>
              <w:rPr>
                <w:rFonts w:ascii="TH Sarabun New" w:cs="TH Sarabun New" w:eastAsia="TH Sarabun New" w:hAnsi="TH Sarabun New"/>
                <w:b w:val="false"/>
                <w:bCs w:val="false"/>
                <w:sz w:val="30"/>
                <w:szCs w:val="30"/>
              </w:rPr>
              <w:t xml:space="preserve">ระบบสุริยะอยู่ใจกลางทางช้างเผือก</w:t>
            </w:r>
          </w:p>
        </w:tc>
        <w:tc>
          <w:tcPr>
            <w:tcW w:type="pct" w:w="42%"/>
          </w:tcPr>
          <w:p>
            <w:pPr>
              <w:spacing w:after="40" w:line="300"/>
            </w:pPr>
            <w:r>
              <w:rPr>
                <w:rFonts w:ascii="TH Sarabun New" w:cs="TH Sarabun New" w:eastAsia="TH Sarabun New" w:hAnsi="TH Sarabun New"/>
                <w:b w:val="false"/>
                <w:bCs w:val="false"/>
                <w:sz w:val="30"/>
                <w:szCs w:val="30"/>
              </w:rPr>
              <w:t xml:space="preserve">อยู่ที่แขน Orion ห่างใจกลาง ~26,000 ปีแสง</w:t>
            </w:r>
          </w:p>
        </w:tc>
        <w:tc>
          <w:tcPr>
            <w:tcW w:type="pct" w:w="15%"/>
          </w:tcPr>
          <w:p>
            <w:pPr>
              <w:spacing w:after="40" w:line="300"/>
            </w:pPr>
            <w:r>
              <w:rPr>
                <w:rFonts w:ascii="TH Sarabun New" w:cs="TH Sarabun New" w:eastAsia="TH Sarabun New" w:hAnsi="TH Sarabun New"/>
                <w:b w:val="false"/>
                <w:bCs w:val="false"/>
                <w:sz w:val="30"/>
                <w:szCs w:val="30"/>
              </w:rPr>
              <w:t xml:space="preserve">EP02</w:t>
            </w:r>
          </w:p>
        </w:tc>
      </w:tr>
      <w:tr>
        <w:trPr>
          <w:tblHeader w:val="false"/>
        </w:trPr>
        <w:tc>
          <w:tcPr>
            <w:tcW w:type="pct" w:w="8%"/>
          </w:tcPr>
          <w:p>
            <w:pPr>
              <w:spacing w:after="40" w:line="300"/>
            </w:pPr>
            <w:r>
              <w:rPr>
                <w:rFonts w:ascii="TH Sarabun New" w:cs="TH Sarabun New" w:eastAsia="TH Sarabun New" w:hAnsi="TH Sarabun New"/>
                <w:b w:val="false"/>
                <w:bCs w:val="false"/>
                <w:sz w:val="30"/>
                <w:szCs w:val="30"/>
              </w:rPr>
              <w:t xml:space="preserve">M03</w:t>
            </w:r>
          </w:p>
        </w:tc>
        <w:tc>
          <w:tcPr>
            <w:tcW w:type="pct" w:w="35%"/>
          </w:tcPr>
          <w:p>
            <w:pPr>
              <w:spacing w:after="40" w:line="300"/>
            </w:pPr>
            <w:r>
              <w:rPr>
                <w:rFonts w:ascii="TH Sarabun New" w:cs="TH Sarabun New" w:eastAsia="TH Sarabun New" w:hAnsi="TH Sarabun New"/>
                <w:b w:val="false"/>
                <w:bCs w:val="false"/>
                <w:sz w:val="30"/>
                <w:szCs w:val="30"/>
              </w:rPr>
              <w:t xml:space="preserve">ดาวเคราะห์ทุกดวงโคจรในระนาบเดียวกันสมบูรณ์</w:t>
            </w:r>
          </w:p>
        </w:tc>
        <w:tc>
          <w:tcPr>
            <w:tcW w:type="pct" w:w="42%"/>
          </w:tcPr>
          <w:p>
            <w:pPr>
              <w:spacing w:after="40" w:line="300"/>
            </w:pPr>
            <w:r>
              <w:rPr>
                <w:rFonts w:ascii="TH Sarabun New" w:cs="TH Sarabun New" w:eastAsia="TH Sarabun New" w:hAnsi="TH Sarabun New"/>
                <w:b w:val="false"/>
                <w:bCs w:val="false"/>
                <w:sz w:val="30"/>
                <w:szCs w:val="30"/>
              </w:rPr>
              <w:t xml:space="preserve">มีความเอียงเล็กน้อยจาก ecliptic</w:t>
            </w:r>
          </w:p>
        </w:tc>
        <w:tc>
          <w:tcPr>
            <w:tcW w:type="pct" w:w="15%"/>
          </w:tcPr>
          <w:p>
            <w:pPr>
              <w:spacing w:after="40" w:line="300"/>
            </w:pPr>
            <w:r>
              <w:rPr>
                <w:rFonts w:ascii="TH Sarabun New" w:cs="TH Sarabun New" w:eastAsia="TH Sarabun New" w:hAnsi="TH Sarabun New"/>
                <w:b w:val="false"/>
                <w:bCs w:val="false"/>
                <w:sz w:val="30"/>
                <w:szCs w:val="30"/>
              </w:rPr>
              <w:t xml:space="preserve">EP06</w:t>
            </w:r>
          </w:p>
        </w:tc>
      </w:tr>
      <w:tr>
        <w:trPr>
          <w:tblHeader w:val="false"/>
        </w:trPr>
        <w:tc>
          <w:tcPr>
            <w:tcW w:type="pct" w:w="8%"/>
          </w:tcPr>
          <w:p>
            <w:pPr>
              <w:spacing w:after="40" w:line="300"/>
            </w:pPr>
            <w:r>
              <w:rPr>
                <w:rFonts w:ascii="TH Sarabun New" w:cs="TH Sarabun New" w:eastAsia="TH Sarabun New" w:hAnsi="TH Sarabun New"/>
                <w:b w:val="false"/>
                <w:bCs w:val="false"/>
                <w:sz w:val="30"/>
                <w:szCs w:val="30"/>
              </w:rPr>
              <w:t xml:space="preserve">M04</w:t>
            </w:r>
          </w:p>
        </w:tc>
        <w:tc>
          <w:tcPr>
            <w:tcW w:type="pct" w:w="35%"/>
          </w:tcPr>
          <w:p>
            <w:pPr>
              <w:spacing w:after="40" w:line="300"/>
            </w:pPr>
            <w:r>
              <w:rPr>
                <w:rFonts w:ascii="TH Sarabun New" w:cs="TH Sarabun New" w:eastAsia="TH Sarabun New" w:hAnsi="TH Sarabun New"/>
                <w:b w:val="false"/>
                <w:bCs w:val="false"/>
                <w:sz w:val="30"/>
                <w:szCs w:val="30"/>
              </w:rPr>
              <w:t xml:space="preserve">magnitude ตัวเลขมาก = สว่างมาก</w:t>
            </w:r>
          </w:p>
        </w:tc>
        <w:tc>
          <w:tcPr>
            <w:tcW w:type="pct" w:w="42%"/>
          </w:tcPr>
          <w:p>
            <w:pPr>
              <w:spacing w:after="40" w:line="300"/>
            </w:pPr>
            <w:r>
              <w:rPr>
                <w:rFonts w:ascii="TH Sarabun New" w:cs="TH Sarabun New" w:eastAsia="TH Sarabun New" w:hAnsi="TH Sarabun New"/>
                <w:b w:val="false"/>
                <w:bCs w:val="false"/>
                <w:sz w:val="30"/>
                <w:szCs w:val="30"/>
              </w:rPr>
              <w:t xml:space="preserve">ตัวเลขน้อยหรือติดลบ = สว่างมาก</w:t>
            </w:r>
          </w:p>
        </w:tc>
        <w:tc>
          <w:tcPr>
            <w:tcW w:type="pct" w:w="15%"/>
          </w:tcPr>
          <w:p>
            <w:pPr>
              <w:spacing w:after="40" w:line="300"/>
            </w:pPr>
            <w:r>
              <w:rPr>
                <w:rFonts w:ascii="TH Sarabun New" w:cs="TH Sarabun New" w:eastAsia="TH Sarabun New" w:hAnsi="TH Sarabun New"/>
                <w:b w:val="false"/>
                <w:bCs w:val="false"/>
                <w:sz w:val="30"/>
                <w:szCs w:val="30"/>
              </w:rPr>
              <w:t xml:space="preserve">EP03</w:t>
            </w:r>
          </w:p>
        </w:tc>
      </w:tr>
      <w:tr>
        <w:trPr>
          <w:tblHeader w:val="false"/>
        </w:trPr>
        <w:tc>
          <w:tcPr>
            <w:tcW w:type="pct" w:w="8%"/>
          </w:tcPr>
          <w:p>
            <w:pPr>
              <w:spacing w:after="40" w:line="300"/>
            </w:pPr>
            <w:r>
              <w:rPr>
                <w:rFonts w:ascii="TH Sarabun New" w:cs="TH Sarabun New" w:eastAsia="TH Sarabun New" w:hAnsi="TH Sarabun New"/>
                <w:b w:val="false"/>
                <w:bCs w:val="false"/>
                <w:sz w:val="30"/>
                <w:szCs w:val="30"/>
              </w:rPr>
              <w:t xml:space="preserve">M05</w:t>
            </w:r>
          </w:p>
        </w:tc>
        <w:tc>
          <w:tcPr>
            <w:tcW w:type="pct" w:w="35%"/>
          </w:tcPr>
          <w:p>
            <w:pPr>
              <w:spacing w:after="40" w:line="300"/>
            </w:pPr>
            <w:r>
              <w:rPr>
                <w:rFonts w:ascii="TH Sarabun New" w:cs="TH Sarabun New" w:eastAsia="TH Sarabun New" w:hAnsi="TH Sarabun New"/>
                <w:b w:val="false"/>
                <w:bCs w:val="false"/>
                <w:sz w:val="30"/>
                <w:szCs w:val="30"/>
              </w:rPr>
              <w:t xml:space="preserve">parsec เป็นหน่วยเวลา</w:t>
            </w:r>
          </w:p>
        </w:tc>
        <w:tc>
          <w:tcPr>
            <w:tcW w:type="pct" w:w="42%"/>
          </w:tcPr>
          <w:p>
            <w:pPr>
              <w:spacing w:after="40" w:line="300"/>
            </w:pPr>
            <w:r>
              <w:rPr>
                <w:rFonts w:ascii="TH Sarabun New" w:cs="TH Sarabun New" w:eastAsia="TH Sarabun New" w:hAnsi="TH Sarabun New"/>
                <w:b w:val="false"/>
                <w:bCs w:val="false"/>
                <w:sz w:val="30"/>
                <w:szCs w:val="30"/>
              </w:rPr>
              <w:t xml:space="preserve">หน่วยระยะทาง 1 pc ≈ 3.26 ปีแสง</w:t>
            </w:r>
          </w:p>
        </w:tc>
        <w:tc>
          <w:tcPr>
            <w:tcW w:type="pct" w:w="15%"/>
          </w:tcPr>
          <w:p>
            <w:pPr>
              <w:spacing w:after="40" w:line="300"/>
            </w:pPr>
            <w:r>
              <w:rPr>
                <w:rFonts w:ascii="TH Sarabun New" w:cs="TH Sarabun New" w:eastAsia="TH Sarabun New" w:hAnsi="TH Sarabun New"/>
                <w:b w:val="false"/>
                <w:bCs w:val="false"/>
                <w:sz w:val="30"/>
                <w:szCs w:val="30"/>
              </w:rPr>
              <w:t xml:space="preserve">EP03</w:t>
            </w:r>
          </w:p>
        </w:tc>
      </w:tr>
      <w:tr>
        <w:trPr>
          <w:tblHeader w:val="false"/>
        </w:trPr>
        <w:tc>
          <w:tcPr>
            <w:tcW w:type="pct" w:w="8%"/>
          </w:tcPr>
          <w:p>
            <w:pPr>
              <w:spacing w:after="40" w:line="300"/>
            </w:pPr>
            <w:r>
              <w:rPr>
                <w:rFonts w:ascii="TH Sarabun New" w:cs="TH Sarabun New" w:eastAsia="TH Sarabun New" w:hAnsi="TH Sarabun New"/>
                <w:b w:val="false"/>
                <w:bCs w:val="false"/>
                <w:sz w:val="30"/>
                <w:szCs w:val="30"/>
              </w:rPr>
              <w:t xml:space="preserve">M06</w:t>
            </w:r>
          </w:p>
        </w:tc>
        <w:tc>
          <w:tcPr>
            <w:tcW w:type="pct" w:w="35%"/>
          </w:tcPr>
          <w:p>
            <w:pPr>
              <w:spacing w:after="40" w:line="300"/>
            </w:pPr>
            <w:r>
              <w:rPr>
                <w:rFonts w:ascii="TH Sarabun New" w:cs="TH Sarabun New" w:eastAsia="TH Sarabun New" w:hAnsi="TH Sarabun New"/>
                <w:b w:val="false"/>
                <w:bCs w:val="false"/>
                <w:sz w:val="30"/>
                <w:szCs w:val="30"/>
              </w:rPr>
              <w:t xml:space="preserve">ดาวฤกษ์ทุกดวงจบชีวิตเป็น supernova</w:t>
            </w:r>
          </w:p>
        </w:tc>
        <w:tc>
          <w:tcPr>
            <w:tcW w:type="pct" w:w="42%"/>
          </w:tcPr>
          <w:p>
            <w:pPr>
              <w:spacing w:after="40" w:line="300"/>
            </w:pPr>
            <w:r>
              <w:rPr>
                <w:rFonts w:ascii="TH Sarabun New" w:cs="TH Sarabun New" w:eastAsia="TH Sarabun New" w:hAnsi="TH Sarabun New"/>
                <w:b w:val="false"/>
                <w:bCs w:val="false"/>
                <w:sz w:val="30"/>
                <w:szCs w:val="30"/>
              </w:rPr>
              <w:t xml:space="preserve">ขึ้นอยู่กับมวล (มวลต่ำ→white dwarf · สูง→supernova)</w:t>
            </w:r>
          </w:p>
        </w:tc>
        <w:tc>
          <w:tcPr>
            <w:tcW w:type="pct" w:w="15%"/>
          </w:tcPr>
          <w:p>
            <w:pPr>
              <w:spacing w:after="40" w:line="300"/>
            </w:pPr>
            <w:r>
              <w:rPr>
                <w:rFonts w:ascii="TH Sarabun New" w:cs="TH Sarabun New" w:eastAsia="TH Sarabun New" w:hAnsi="TH Sarabun New"/>
                <w:b w:val="false"/>
                <w:bCs w:val="false"/>
                <w:sz w:val="30"/>
                <w:szCs w:val="30"/>
              </w:rPr>
              <w:t xml:space="preserve">EP04</w:t>
            </w:r>
          </w:p>
        </w:tc>
      </w:tr>
      <w:tr>
        <w:trPr>
          <w:tblHeader w:val="false"/>
        </w:trPr>
        <w:tc>
          <w:tcPr>
            <w:tcW w:type="pct" w:w="8%"/>
          </w:tcPr>
          <w:p>
            <w:pPr>
              <w:spacing w:after="40" w:line="300"/>
            </w:pPr>
            <w:r>
              <w:rPr>
                <w:rFonts w:ascii="TH Sarabun New" w:cs="TH Sarabun New" w:eastAsia="TH Sarabun New" w:hAnsi="TH Sarabun New"/>
                <w:b w:val="false"/>
                <w:bCs w:val="false"/>
                <w:sz w:val="30"/>
                <w:szCs w:val="30"/>
              </w:rPr>
              <w:t xml:space="preserve">M07</w:t>
            </w:r>
          </w:p>
        </w:tc>
        <w:tc>
          <w:tcPr>
            <w:tcW w:type="pct" w:w="35%"/>
          </w:tcPr>
          <w:p>
            <w:pPr>
              <w:spacing w:after="40" w:line="300"/>
            </w:pPr>
            <w:r>
              <w:rPr>
                <w:rFonts w:ascii="TH Sarabun New" w:cs="TH Sarabun New" w:eastAsia="TH Sarabun New" w:hAnsi="TH Sarabun New"/>
                <w:b w:val="false"/>
                <w:bCs w:val="false"/>
                <w:sz w:val="30"/>
                <w:szCs w:val="30"/>
              </w:rPr>
              <w:t xml:space="preserve">ดวงอาทิตย์เผาไหม้ไฮโดรเจน-ออกซิเจน</w:t>
            </w:r>
          </w:p>
        </w:tc>
        <w:tc>
          <w:tcPr>
            <w:tcW w:type="pct" w:w="42%"/>
          </w:tcPr>
          <w:p>
            <w:pPr>
              <w:spacing w:after="40" w:line="300"/>
            </w:pPr>
            <w:r>
              <w:rPr>
                <w:rFonts w:ascii="TH Sarabun New" w:cs="TH Sarabun New" w:eastAsia="TH Sarabun New" w:hAnsi="TH Sarabun New"/>
                <w:b w:val="false"/>
                <w:bCs w:val="false"/>
                <w:sz w:val="30"/>
                <w:szCs w:val="30"/>
              </w:rPr>
              <w:t xml:space="preserve">นิวเคลียร์ฟิวชัน p-p chain</w:t>
            </w:r>
          </w:p>
        </w:tc>
        <w:tc>
          <w:tcPr>
            <w:tcW w:type="pct" w:w="15%"/>
          </w:tcPr>
          <w:p>
            <w:pPr>
              <w:spacing w:after="40" w:line="300"/>
            </w:pPr>
            <w:r>
              <w:rPr>
                <w:rFonts w:ascii="TH Sarabun New" w:cs="TH Sarabun New" w:eastAsia="TH Sarabun New" w:hAnsi="TH Sarabun New"/>
                <w:b w:val="false"/>
                <w:bCs w:val="false"/>
                <w:sz w:val="30"/>
                <w:szCs w:val="30"/>
              </w:rPr>
              <w:t xml:space="preserve">EP05</w:t>
            </w:r>
          </w:p>
        </w:tc>
      </w:tr>
      <w:tr>
        <w:trPr>
          <w:tblHeader w:val="false"/>
        </w:trPr>
        <w:tc>
          <w:tcPr>
            <w:tcW w:type="pct" w:w="8%"/>
          </w:tcPr>
          <w:p>
            <w:pPr>
              <w:spacing w:after="40" w:line="300"/>
            </w:pPr>
            <w:r>
              <w:rPr>
                <w:rFonts w:ascii="TH Sarabun New" w:cs="TH Sarabun New" w:eastAsia="TH Sarabun New" w:hAnsi="TH Sarabun New"/>
                <w:b w:val="false"/>
                <w:bCs w:val="false"/>
                <w:sz w:val="30"/>
                <w:szCs w:val="30"/>
              </w:rPr>
              <w:t xml:space="preserve">M08</w:t>
            </w:r>
          </w:p>
        </w:tc>
        <w:tc>
          <w:tcPr>
            <w:tcW w:type="pct" w:w="35%"/>
          </w:tcPr>
          <w:p>
            <w:pPr>
              <w:spacing w:after="40" w:line="300"/>
            </w:pPr>
            <w:r>
              <w:rPr>
                <w:rFonts w:ascii="TH Sarabun New" w:cs="TH Sarabun New" w:eastAsia="TH Sarabun New" w:hAnsi="TH Sarabun New"/>
                <w:b w:val="false"/>
                <w:bCs w:val="false"/>
                <w:sz w:val="30"/>
                <w:szCs w:val="30"/>
              </w:rPr>
              <w:t xml:space="preserve">ฤดูกาลเกิดจากระยะห่างโลก-ดวงอาทิตย์</w:t>
            </w:r>
          </w:p>
        </w:tc>
        <w:tc>
          <w:tcPr>
            <w:tcW w:type="pct" w:w="42%"/>
          </w:tcPr>
          <w:p>
            <w:pPr>
              <w:spacing w:after="40" w:line="300"/>
            </w:pPr>
            <w:r>
              <w:rPr>
                <w:rFonts w:ascii="TH Sarabun New" w:cs="TH Sarabun New" w:eastAsia="TH Sarabun New" w:hAnsi="TH Sarabun New"/>
                <w:b w:val="false"/>
                <w:bCs w:val="false"/>
                <w:sz w:val="30"/>
                <w:szCs w:val="30"/>
              </w:rPr>
              <w:t xml:space="preserve">แกนเอียง 23.5° (axial tilt)</w:t>
            </w:r>
          </w:p>
        </w:tc>
        <w:tc>
          <w:tcPr>
            <w:tcW w:type="pct" w:w="15%"/>
          </w:tcPr>
          <w:p>
            <w:pPr>
              <w:spacing w:after="40" w:line="300"/>
            </w:pPr>
            <w:r>
              <w:rPr>
                <w:rFonts w:ascii="TH Sarabun New" w:cs="TH Sarabun New" w:eastAsia="TH Sarabun New" w:hAnsi="TH Sarabun New"/>
                <w:b w:val="false"/>
                <w:bCs w:val="false"/>
                <w:sz w:val="30"/>
                <w:szCs w:val="30"/>
              </w:rPr>
              <w:t xml:space="preserve">EP05, EP06</w:t>
            </w:r>
          </w:p>
        </w:tc>
      </w:tr>
      <w:tr>
        <w:trPr>
          <w:tblHeader w:val="false"/>
        </w:trPr>
        <w:tc>
          <w:tcPr>
            <w:tcW w:type="pct" w:w="8%"/>
          </w:tcPr>
          <w:p>
            <w:pPr>
              <w:spacing w:after="40" w:line="300"/>
            </w:pPr>
            <w:r>
              <w:rPr>
                <w:rFonts w:ascii="TH Sarabun New" w:cs="TH Sarabun New" w:eastAsia="TH Sarabun New" w:hAnsi="TH Sarabun New"/>
                <w:b w:val="false"/>
                <w:bCs w:val="false"/>
                <w:sz w:val="30"/>
                <w:szCs w:val="30"/>
              </w:rPr>
              <w:t xml:space="preserve">M09</w:t>
            </w:r>
          </w:p>
        </w:tc>
        <w:tc>
          <w:tcPr>
            <w:tcW w:type="pct" w:w="35%"/>
          </w:tcPr>
          <w:p>
            <w:pPr>
              <w:spacing w:after="40" w:line="300"/>
            </w:pPr>
            <w:r>
              <w:rPr>
                <w:rFonts w:ascii="TH Sarabun New" w:cs="TH Sarabun New" w:eastAsia="TH Sarabun New" w:hAnsi="TH Sarabun New"/>
                <w:b w:val="false"/>
                <w:bCs w:val="false"/>
                <w:sz w:val="30"/>
                <w:szCs w:val="30"/>
              </w:rPr>
              <w:t xml:space="preserve">ดาวเทียม geostationary ลอยนิ่ง</w:t>
            </w:r>
          </w:p>
        </w:tc>
        <w:tc>
          <w:tcPr>
            <w:tcW w:type="pct" w:w="42%"/>
          </w:tcPr>
          <w:p>
            <w:pPr>
              <w:spacing w:after="40" w:line="300"/>
            </w:pPr>
            <w:r>
              <w:rPr>
                <w:rFonts w:ascii="TH Sarabun New" w:cs="TH Sarabun New" w:eastAsia="TH Sarabun New" w:hAnsi="TH Sarabun New"/>
                <w:b w:val="false"/>
                <w:bCs w:val="false"/>
                <w:sz w:val="30"/>
                <w:szCs w:val="30"/>
              </w:rPr>
              <w:t xml:space="preserve">เคลื่อนที่ ~3 km/s ในวงโคจรเดียวกับการหมุนของโลก</w:t>
            </w:r>
          </w:p>
        </w:tc>
        <w:tc>
          <w:tcPr>
            <w:tcW w:type="pct" w:w="15%"/>
          </w:tcPr>
          <w:p>
            <w:pPr>
              <w:spacing w:after="40" w:line="300"/>
            </w:pPr>
            <w:r>
              <w:rPr>
                <w:rFonts w:ascii="TH Sarabun New" w:cs="TH Sarabun New" w:eastAsia="TH Sarabun New" w:hAnsi="TH Sarabun New"/>
                <w:b w:val="false"/>
                <w:bCs w:val="false"/>
                <w:sz w:val="30"/>
                <w:szCs w:val="30"/>
              </w:rPr>
              <w:t xml:space="preserve">EP07</w:t>
            </w:r>
          </w:p>
        </w:tc>
      </w:tr>
      <w:tr>
        <w:trPr>
          <w:tblHeader w:val="false"/>
        </w:trPr>
        <w:tc>
          <w:tcPr>
            <w:tcW w:type="pct" w:w="8%"/>
          </w:tcPr>
          <w:p>
            <w:pPr>
              <w:spacing w:after="40" w:line="300"/>
            </w:pPr>
            <w:r>
              <w:rPr>
                <w:rFonts w:ascii="TH Sarabun New" w:cs="TH Sarabun New" w:eastAsia="TH Sarabun New" w:hAnsi="TH Sarabun New"/>
                <w:b w:val="false"/>
                <w:bCs w:val="false"/>
                <w:sz w:val="30"/>
                <w:szCs w:val="30"/>
              </w:rPr>
              <w:t xml:space="preserve">M10</w:t>
            </w:r>
          </w:p>
        </w:tc>
        <w:tc>
          <w:tcPr>
            <w:tcW w:type="pct" w:w="35%"/>
          </w:tcPr>
          <w:p>
            <w:pPr>
              <w:spacing w:after="40" w:line="300"/>
            </w:pPr>
            <w:r>
              <w:rPr>
                <w:rFonts w:ascii="TH Sarabun New" w:cs="TH Sarabun New" w:eastAsia="TH Sarabun New" w:hAnsi="TH Sarabun New"/>
                <w:b w:val="false"/>
                <w:bCs w:val="false"/>
                <w:sz w:val="30"/>
                <w:szCs w:val="30"/>
              </w:rPr>
              <w:t xml:space="preserve">คลื่น EM ต้องอาศัยตัวกลาง</w:t>
            </w:r>
          </w:p>
        </w:tc>
        <w:tc>
          <w:tcPr>
            <w:tcW w:type="pct" w:w="42%"/>
          </w:tcPr>
          <w:p>
            <w:pPr>
              <w:spacing w:after="40" w:line="300"/>
            </w:pPr>
            <w:r>
              <w:rPr>
                <w:rFonts w:ascii="TH Sarabun New" w:cs="TH Sarabun New" w:eastAsia="TH Sarabun New" w:hAnsi="TH Sarabun New"/>
                <w:b w:val="false"/>
                <w:bCs w:val="false"/>
                <w:sz w:val="30"/>
                <w:szCs w:val="30"/>
              </w:rPr>
              <w:t xml:space="preserve">ไม่ต้องการตัวกลาง เคลื่อนที่ในสุญญากาศได้</w:t>
            </w:r>
          </w:p>
        </w:tc>
        <w:tc>
          <w:tcPr>
            <w:tcW w:type="pct" w:w="15%"/>
          </w:tcPr>
          <w:p>
            <w:pPr>
              <w:spacing w:after="40" w:line="300"/>
            </w:pPr>
            <w:r>
              <w:rPr>
                <w:rFonts w:ascii="TH Sarabun New" w:cs="TH Sarabun New" w:eastAsia="TH Sarabun New" w:hAnsi="TH Sarabun New"/>
                <w:b w:val="false"/>
                <w:bCs w:val="false"/>
                <w:sz w:val="30"/>
                <w:szCs w:val="30"/>
              </w:rPr>
              <w:t xml:space="preserve">EP07</w:t>
            </w:r>
          </w:p>
        </w:tc>
      </w:tr>
    </w:tbl>
    <w:p>
      <w:pPr>
        <w:spacing w:after="80" w:before="0" w:line="360"/>
        <w:ind w:firstLine="720"/>
        <w:jc w:val="both"/>
      </w:pPr>
      <w:r>
        <w:rPr>
          <w:rFonts w:ascii="TH Sarabun New" w:cs="TH Sarabun New" w:eastAsia="TH Sarabun New" w:hAnsi="TH Sarabun New"/>
          <w:sz w:val="32"/>
          <w:szCs w:val="32"/>
        </w:rPr>
        <w:t xml:space="preserve">ตารางนี้สำคัญมาก เพราะเป็น "แผนที่ของศัตรู" ที่งานวิจัยนี้ต้องเอาชนะ misconception ทั้ง 10 ข้อนี้ถูกแปลงเป็น distractor ในแบบทดสอบ FT-01/FT-02 ทำให้นักเรียนที่มี misconception จะถูก "หลอก" ให้เลือกตัวเลือกที่สอดคล้องกับความเชื่อเดิม และผู้วิจัยสามารถวินิจฉัยได้ว่านักเรียนคนใดมี misconception ใด ก่อนและหลังเรียน</w:t>
      </w:r>
    </w:p>
    <w:p>
      <w:pPr>
        <w:spacing w:after="80" w:before="0" w:line="360"/>
        <w:ind w:firstLine="720"/>
        <w:jc w:val="both"/>
      </w:pPr>
      <w:r>
        <w:rPr>
          <w:rFonts w:ascii="TH Sarabun New" w:cs="TH Sarabun New" w:eastAsia="TH Sarabun New" w:hAnsi="TH Sarabun New"/>
          <w:color w:val="C00000"/>
          <w:sz w:val="32"/>
          <w:szCs w:val="32"/>
        </w:rPr>
        <w:t xml:space="preserve">[ผู้วิจัยเพิ่มเติม: ผลการสำรวจ misconception ในห้องเรียนของตนเอง · ระบุข้อมูลที่เก็บจริงในปีการศึกษา 2566-2568 · จำนวนนักเรียน · % ที่พบ misconception แต่ละข้อ เพื่อเสริมหลักฐานเชิงปริมาณว่าเป็นปัญหาในบริบทจริง — ส่วนนี้จะเพิ่มน้ำหนักของ "ช่องว่างของปัญหา" ที่งานวิจัยต้องการแก้ไข]</w:t>
      </w:r>
    </w:p>
    <w:p>
      <w:pPr>
        <w:spacing w:after="120" w:before="280"/>
      </w:pPr>
      <w:r>
        <w:rPr>
          <w:rFonts w:ascii="TH Sarabun New" w:cs="TH Sarabun New" w:eastAsia="TH Sarabun New" w:hAnsi="TH Sarabun New"/>
          <w:b/>
          <w:bCs/>
          <w:sz w:val="36"/>
          <w:szCs w:val="36"/>
        </w:rPr>
        <w:t xml:space="preserve">2.8.4 การวินิจฉัยมโนทัศน์ที่คลาดเคลื่อน</w:t>
      </w:r>
    </w:p>
    <w:p>
      <w:pPr>
        <w:spacing w:after="80" w:before="0" w:line="360"/>
        <w:ind w:firstLine="720"/>
        <w:jc w:val="both"/>
      </w:pPr>
      <w:r>
        <w:rPr>
          <w:rFonts w:ascii="TH Sarabun New" w:cs="TH Sarabun New" w:eastAsia="TH Sarabun New" w:hAnsi="TH Sarabun New"/>
          <w:sz w:val="32"/>
          <w:szCs w:val="32"/>
        </w:rPr>
        <w:t xml:space="preserve">เครื่องมือวินิจฉัยมโนทัศน์ที่คลาดเคลื่อนได้รับการพัฒนามาอย่างต่อเนื่อง โดยมีวิวัฒนาการ 4 ระยะ ที่ผู้วิจัยจะอธิบายไล่จากเครื่องมือที่ง่ายที่สุดไปสู่ที่ซับซ้อนที่สุด</w:t>
      </w:r>
    </w:p>
    <w:p>
      <w:pPr>
        <w:spacing w:after="100" w:before="200"/>
      </w:pPr>
      <w:r>
        <w:rPr>
          <w:rFonts w:ascii="TH Sarabun New" w:cs="TH Sarabun New" w:eastAsia="TH Sarabun New" w:hAnsi="TH Sarabun New"/>
          <w:b/>
          <w:bCs/>
          <w:sz w:val="34"/>
          <w:szCs w:val="34"/>
        </w:rPr>
        <w:t xml:space="preserve">(1) Single-tier Multiple-choice</w:t>
      </w:r>
    </w:p>
    <w:p>
      <w:pPr>
        <w:spacing w:after="80" w:before="0" w:line="360"/>
        <w:ind w:firstLine="720"/>
        <w:jc w:val="both"/>
      </w:pPr>
      <w:r>
        <w:rPr>
          <w:rFonts w:ascii="TH Sarabun New" w:cs="TH Sarabun New" w:eastAsia="TH Sarabun New" w:hAnsi="TH Sarabun New"/>
          <w:sz w:val="32"/>
          <w:szCs w:val="32"/>
        </w:rPr>
        <w:t xml:space="preserve">รูปแบบดั้งเดิม ถามคำตอบเพียงอย่างเดียว ตรวจง่าย แต่มีจุดอ่อนสำคัญคือไม่สามารถจำแนก "lucky guess" ออกจาก "sound understanding" ได้ — นักเรียนที่เดาถูกกับนักเรียนที่เข้าใจจริงจะได้คะแนนเท่ากัน</w:t>
      </w:r>
    </w:p>
    <w:p>
      <w:pPr>
        <w:spacing w:after="100" w:before="200"/>
      </w:pPr>
      <w:r>
        <w:rPr>
          <w:rFonts w:ascii="TH Sarabun New" w:cs="TH Sarabun New" w:eastAsia="TH Sarabun New" w:hAnsi="TH Sarabun New"/>
          <w:b/>
          <w:bCs/>
          <w:sz w:val="34"/>
          <w:szCs w:val="34"/>
        </w:rPr>
        <w:t xml:space="preserve">(2) Two-tier Diagnostic Test</w:t>
      </w:r>
    </w:p>
    <w:p>
      <w:pPr>
        <w:spacing w:after="80" w:before="0" w:line="360"/>
        <w:ind w:firstLine="720"/>
        <w:jc w:val="both"/>
      </w:pPr>
      <w:r>
        <w:rPr>
          <w:rFonts w:ascii="TH Sarabun New" w:cs="TH Sarabun New" w:eastAsia="TH Sarabun New" w:hAnsi="TH Sarabun New"/>
          <w:sz w:val="32"/>
          <w:szCs w:val="32"/>
        </w:rPr>
        <w:t xml:space="preserve">Treagust (1988) เสนอเครื่องมือ Two-tier Multiple-choice Diagnostic Test ที่แต่ละข้อประกอบด้วย 2 ส่วน คือ tier ที่ 1 ถามคำตอบ และ tier ที่ 2 ถามเหตุผลของคำตอบ ช่วยให้สามารถจำแนกผู้เรียนได้ละเอียดขึ้น โดยเฉพาะการแยก "ตอบถูกแบบเข้าใจ" ออกจาก "ตอบถูกแบบเดา"</w:t>
      </w:r>
    </w:p>
    <w:p>
      <w:pPr>
        <w:spacing w:after="100" w:before="200"/>
      </w:pPr>
      <w:r>
        <w:rPr>
          <w:rFonts w:ascii="TH Sarabun New" w:cs="TH Sarabun New" w:eastAsia="TH Sarabun New" w:hAnsi="TH Sarabun New"/>
          <w:b/>
          <w:bCs/>
          <w:sz w:val="34"/>
          <w:szCs w:val="34"/>
        </w:rPr>
        <w:t xml:space="preserve">(3) Two-tier with Confidence Rating</w:t>
      </w:r>
    </w:p>
    <w:p>
      <w:pPr>
        <w:spacing w:after="80" w:before="0" w:line="360"/>
        <w:ind w:firstLine="720"/>
        <w:jc w:val="both"/>
      </w:pPr>
      <w:r>
        <w:rPr>
          <w:rFonts w:ascii="TH Sarabun New" w:cs="TH Sarabun New" w:eastAsia="TH Sarabun New" w:hAnsi="TH Sarabun New"/>
          <w:sz w:val="32"/>
          <w:szCs w:val="32"/>
        </w:rPr>
        <w:t xml:space="preserve">Caleon และ Subramaniam (2010) ปรับปรุงเครื่องมือนี้โดยเพิ่มการประเมินความมั่นใจ (confidence rating) ทำให้สามารถจำแนกผู้เรียนเป็น 4 ประเภทตามตารางที่ 2.8 — การจำแนก 4 ประเภทนี้ทรงพลังเพราะให้ครูเห็น "อาการ" ของผู้เรียนแต่ละคน เช่น นักเรียนกลุ่ม Misconception ต้องการ cognitive conflict ขณะที่นักเรียนกลุ่ม No Knowledge ต้องการการเริ่มต้นจากศูนย์</w:t>
      </w:r>
    </w:p>
    <w:p>
      <w:pPr>
        <w:spacing w:after="100" w:before="200"/>
      </w:pPr>
      <w:r>
        <w:rPr>
          <w:rFonts w:ascii="TH Sarabun New" w:cs="TH Sarabun New" w:eastAsia="TH Sarabun New" w:hAnsi="TH Sarabun New"/>
          <w:b/>
          <w:bCs/>
          <w:sz w:val="32"/>
          <w:szCs w:val="32"/>
        </w:rPr>
        <w:t xml:space="preserve">ตารางที่ 2.8  การจำแนกผู้เรียนตามผลการตอบและระดับความมั่นใจ</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gridCol w:w="100"/>
      </w:tblGrid>
      <w:tr>
        <w:trPr>
          <w:tblHeader/>
        </w:trPr>
        <w:tc>
          <w:tcPr>
            <w:tcW w:type="pct" w:w="15%"/>
            <w:shd w:fill="D9E2F3" w:color="auto" w:val="clear"/>
          </w:tcPr>
          <w:p>
            <w:pPr>
              <w:spacing w:after="40" w:line="300"/>
            </w:pPr>
            <w:r>
              <w:rPr>
                <w:rFonts w:ascii="TH Sarabun New" w:cs="TH Sarabun New" w:eastAsia="TH Sarabun New" w:hAnsi="TH Sarabun New"/>
                <w:b/>
                <w:bCs/>
                <w:sz w:val="30"/>
                <w:szCs w:val="30"/>
              </w:rPr>
              <w:t xml:space="preserve">ผลการตอบ</w:t>
            </w:r>
          </w:p>
        </w:tc>
        <w:tc>
          <w:tcPr>
            <w:tcW w:type="pct" w:w="22%"/>
            <w:shd w:fill="D9E2F3" w:color="auto" w:val="clear"/>
          </w:tcPr>
          <w:p>
            <w:pPr>
              <w:spacing w:after="40" w:line="300"/>
            </w:pPr>
            <w:r>
              <w:rPr>
                <w:rFonts w:ascii="TH Sarabun New" w:cs="TH Sarabun New" w:eastAsia="TH Sarabun New" w:hAnsi="TH Sarabun New"/>
                <w:b/>
                <w:bCs/>
                <w:sz w:val="30"/>
                <w:szCs w:val="30"/>
              </w:rPr>
              <w:t xml:space="preserve">ระดับความมั่นใจ</w:t>
            </w:r>
          </w:p>
        </w:tc>
        <w:tc>
          <w:tcPr>
            <w:tcW w:type="pct" w:w="28%"/>
            <w:shd w:fill="D9E2F3" w:color="auto" w:val="clear"/>
          </w:tcPr>
          <w:p>
            <w:pPr>
              <w:spacing w:after="40" w:line="300"/>
            </w:pPr>
            <w:r>
              <w:rPr>
                <w:rFonts w:ascii="TH Sarabun New" w:cs="TH Sarabun New" w:eastAsia="TH Sarabun New" w:hAnsi="TH Sarabun New"/>
                <w:b/>
                <w:bCs/>
                <w:sz w:val="30"/>
                <w:szCs w:val="30"/>
              </w:rPr>
              <w:t xml:space="preserve">ประเภทผู้เรียน</w:t>
            </w:r>
          </w:p>
        </w:tc>
        <w:tc>
          <w:tcPr>
            <w:tcW w:type="pct" w:w="35%"/>
            <w:shd w:fill="D9E2F3" w:color="auto" w:val="clear"/>
          </w:tcPr>
          <w:p>
            <w:pPr>
              <w:spacing w:after="40" w:line="300"/>
            </w:pPr>
            <w:r>
              <w:rPr>
                <w:rFonts w:ascii="TH Sarabun New" w:cs="TH Sarabun New" w:eastAsia="TH Sarabun New" w:hAnsi="TH Sarabun New"/>
                <w:b/>
                <w:bCs/>
                <w:sz w:val="30"/>
                <w:szCs w:val="30"/>
              </w:rPr>
              <w:t xml:space="preserve">ความหมาย</w:t>
            </w:r>
          </w:p>
        </w:tc>
      </w:tr>
      <w:tr>
        <w:trPr>
          <w:tblHeader w:val="false"/>
        </w:trPr>
        <w:tc>
          <w:tcPr>
            <w:tcW w:type="pct" w:w="15%"/>
          </w:tcPr>
          <w:p>
            <w:pPr>
              <w:spacing w:after="40" w:line="300"/>
            </w:pPr>
            <w:r>
              <w:rPr>
                <w:rFonts w:ascii="TH Sarabun New" w:cs="TH Sarabun New" w:eastAsia="TH Sarabun New" w:hAnsi="TH Sarabun New"/>
                <w:b w:val="false"/>
                <w:bCs w:val="false"/>
                <w:sz w:val="30"/>
                <w:szCs w:val="30"/>
              </w:rPr>
              <w:t xml:space="preserve">ถูก</w:t>
            </w:r>
          </w:p>
        </w:tc>
        <w:tc>
          <w:tcPr>
            <w:tcW w:type="pct" w:w="22%"/>
          </w:tcPr>
          <w:p>
            <w:pPr>
              <w:spacing w:after="40" w:line="300"/>
            </w:pPr>
            <w:r>
              <w:rPr>
                <w:rFonts w:ascii="TH Sarabun New" w:cs="TH Sarabun New" w:eastAsia="TH Sarabun New" w:hAnsi="TH Sarabun New"/>
                <w:b w:val="false"/>
                <w:bCs w:val="false"/>
                <w:sz w:val="30"/>
                <w:szCs w:val="30"/>
              </w:rPr>
              <w:t xml:space="preserve">สูง (≥3)</w:t>
            </w:r>
          </w:p>
        </w:tc>
        <w:tc>
          <w:tcPr>
            <w:tcW w:type="pct" w:w="28%"/>
          </w:tcPr>
          <w:p>
            <w:pPr>
              <w:spacing w:after="40" w:line="300"/>
            </w:pPr>
            <w:r>
              <w:rPr>
                <w:rFonts w:ascii="TH Sarabun New" w:cs="TH Sarabun New" w:eastAsia="TH Sarabun New" w:hAnsi="TH Sarabun New"/>
                <w:b w:val="false"/>
                <w:bCs w:val="false"/>
                <w:sz w:val="30"/>
                <w:szCs w:val="30"/>
              </w:rPr>
              <w:t xml:space="preserve">Sound Understanding</w:t>
            </w:r>
          </w:p>
        </w:tc>
        <w:tc>
          <w:tcPr>
            <w:tcW w:type="pct" w:w="35%"/>
          </w:tcPr>
          <w:p>
            <w:pPr>
              <w:spacing w:after="40" w:line="300"/>
            </w:pPr>
            <w:r>
              <w:rPr>
                <w:rFonts w:ascii="TH Sarabun New" w:cs="TH Sarabun New" w:eastAsia="TH Sarabun New" w:hAnsi="TH Sarabun New"/>
                <w:b w:val="false"/>
                <w:bCs w:val="false"/>
                <w:sz w:val="30"/>
                <w:szCs w:val="30"/>
              </w:rPr>
              <w:t xml:space="preserve">เข้าใจถูกต้องและมั่นใจ</w:t>
            </w:r>
          </w:p>
        </w:tc>
      </w:tr>
      <w:tr>
        <w:trPr>
          <w:tblHeader w:val="false"/>
        </w:trPr>
        <w:tc>
          <w:tcPr>
            <w:tcW w:type="pct" w:w="15%"/>
          </w:tcPr>
          <w:p>
            <w:pPr>
              <w:spacing w:after="40" w:line="300"/>
            </w:pPr>
            <w:r>
              <w:rPr>
                <w:rFonts w:ascii="TH Sarabun New" w:cs="TH Sarabun New" w:eastAsia="TH Sarabun New" w:hAnsi="TH Sarabun New"/>
                <w:b w:val="false"/>
                <w:bCs w:val="false"/>
                <w:sz w:val="30"/>
                <w:szCs w:val="30"/>
              </w:rPr>
              <w:t xml:space="preserve">ถูก</w:t>
            </w:r>
          </w:p>
        </w:tc>
        <w:tc>
          <w:tcPr>
            <w:tcW w:type="pct" w:w="22%"/>
          </w:tcPr>
          <w:p>
            <w:pPr>
              <w:spacing w:after="40" w:line="300"/>
            </w:pPr>
            <w:r>
              <w:rPr>
                <w:rFonts w:ascii="TH Sarabun New" w:cs="TH Sarabun New" w:eastAsia="TH Sarabun New" w:hAnsi="TH Sarabun New"/>
                <w:b w:val="false"/>
                <w:bCs w:val="false"/>
                <w:sz w:val="30"/>
                <w:szCs w:val="30"/>
              </w:rPr>
              <w:t xml:space="preserve">ต่ำ (≤2)</w:t>
            </w:r>
          </w:p>
        </w:tc>
        <w:tc>
          <w:tcPr>
            <w:tcW w:type="pct" w:w="28%"/>
          </w:tcPr>
          <w:p>
            <w:pPr>
              <w:spacing w:after="40" w:line="300"/>
            </w:pPr>
            <w:r>
              <w:rPr>
                <w:rFonts w:ascii="TH Sarabun New" w:cs="TH Sarabun New" w:eastAsia="TH Sarabun New" w:hAnsi="TH Sarabun New"/>
                <w:b w:val="false"/>
                <w:bCs w:val="false"/>
                <w:sz w:val="30"/>
                <w:szCs w:val="30"/>
              </w:rPr>
              <w:t xml:space="preserve">Lucky Guess</w:t>
            </w:r>
          </w:p>
        </w:tc>
        <w:tc>
          <w:tcPr>
            <w:tcW w:type="pct" w:w="35%"/>
          </w:tcPr>
          <w:p>
            <w:pPr>
              <w:spacing w:after="40" w:line="300"/>
            </w:pPr>
            <w:r>
              <w:rPr>
                <w:rFonts w:ascii="TH Sarabun New" w:cs="TH Sarabun New" w:eastAsia="TH Sarabun New" w:hAnsi="TH Sarabun New"/>
                <w:b w:val="false"/>
                <w:bCs w:val="false"/>
                <w:sz w:val="30"/>
                <w:szCs w:val="30"/>
              </w:rPr>
              <w:t xml:space="preserve">เดาถูก ไม่ใช่ความเข้าใจจริง</w:t>
            </w:r>
          </w:p>
        </w:tc>
      </w:tr>
      <w:tr>
        <w:trPr>
          <w:tblHeader w:val="false"/>
        </w:trPr>
        <w:tc>
          <w:tcPr>
            <w:tcW w:type="pct" w:w="15%"/>
          </w:tcPr>
          <w:p>
            <w:pPr>
              <w:spacing w:after="40" w:line="300"/>
            </w:pPr>
            <w:r>
              <w:rPr>
                <w:rFonts w:ascii="TH Sarabun New" w:cs="TH Sarabun New" w:eastAsia="TH Sarabun New" w:hAnsi="TH Sarabun New"/>
                <w:b w:val="false"/>
                <w:bCs w:val="false"/>
                <w:sz w:val="30"/>
                <w:szCs w:val="30"/>
              </w:rPr>
              <w:t xml:space="preserve">ผิด</w:t>
            </w:r>
          </w:p>
        </w:tc>
        <w:tc>
          <w:tcPr>
            <w:tcW w:type="pct" w:w="22%"/>
          </w:tcPr>
          <w:p>
            <w:pPr>
              <w:spacing w:after="40" w:line="300"/>
            </w:pPr>
            <w:r>
              <w:rPr>
                <w:rFonts w:ascii="TH Sarabun New" w:cs="TH Sarabun New" w:eastAsia="TH Sarabun New" w:hAnsi="TH Sarabun New"/>
                <w:b w:val="false"/>
                <w:bCs w:val="false"/>
                <w:sz w:val="30"/>
                <w:szCs w:val="30"/>
              </w:rPr>
              <w:t xml:space="preserve">สูง (≥3)</w:t>
            </w:r>
          </w:p>
        </w:tc>
        <w:tc>
          <w:tcPr>
            <w:tcW w:type="pct" w:w="28%"/>
          </w:tcPr>
          <w:p>
            <w:pPr>
              <w:spacing w:after="40" w:line="300"/>
            </w:pPr>
            <w:r>
              <w:rPr>
                <w:rFonts w:ascii="TH Sarabun New" w:cs="TH Sarabun New" w:eastAsia="TH Sarabun New" w:hAnsi="TH Sarabun New"/>
                <w:b w:val="false"/>
                <w:bCs w:val="false"/>
                <w:sz w:val="30"/>
                <w:szCs w:val="30"/>
              </w:rPr>
              <w:t xml:space="preserve">Misconception</w:t>
            </w:r>
          </w:p>
        </w:tc>
        <w:tc>
          <w:tcPr>
            <w:tcW w:type="pct" w:w="35%"/>
          </w:tcPr>
          <w:p>
            <w:pPr>
              <w:spacing w:after="40" w:line="300"/>
            </w:pPr>
            <w:r>
              <w:rPr>
                <w:rFonts w:ascii="TH Sarabun New" w:cs="TH Sarabun New" w:eastAsia="TH Sarabun New" w:hAnsi="TH Sarabun New"/>
                <w:b w:val="false"/>
                <w:bCs w:val="false"/>
                <w:sz w:val="30"/>
                <w:szCs w:val="30"/>
              </w:rPr>
              <w:t xml:space="preserve">มั่นใจในมโนทัศน์ที่คลาดเคลื่อน</w:t>
            </w:r>
          </w:p>
        </w:tc>
      </w:tr>
      <w:tr>
        <w:trPr>
          <w:tblHeader w:val="false"/>
        </w:trPr>
        <w:tc>
          <w:tcPr>
            <w:tcW w:type="pct" w:w="15%"/>
          </w:tcPr>
          <w:p>
            <w:pPr>
              <w:spacing w:after="40" w:line="300"/>
            </w:pPr>
            <w:r>
              <w:rPr>
                <w:rFonts w:ascii="TH Sarabun New" w:cs="TH Sarabun New" w:eastAsia="TH Sarabun New" w:hAnsi="TH Sarabun New"/>
                <w:b w:val="false"/>
                <w:bCs w:val="false"/>
                <w:sz w:val="30"/>
                <w:szCs w:val="30"/>
              </w:rPr>
              <w:t xml:space="preserve">ผิด</w:t>
            </w:r>
          </w:p>
        </w:tc>
        <w:tc>
          <w:tcPr>
            <w:tcW w:type="pct" w:w="22%"/>
          </w:tcPr>
          <w:p>
            <w:pPr>
              <w:spacing w:after="40" w:line="300"/>
            </w:pPr>
            <w:r>
              <w:rPr>
                <w:rFonts w:ascii="TH Sarabun New" w:cs="TH Sarabun New" w:eastAsia="TH Sarabun New" w:hAnsi="TH Sarabun New"/>
                <w:b w:val="false"/>
                <w:bCs w:val="false"/>
                <w:sz w:val="30"/>
                <w:szCs w:val="30"/>
              </w:rPr>
              <w:t xml:space="preserve">ต่ำ (≤2)</w:t>
            </w:r>
          </w:p>
        </w:tc>
        <w:tc>
          <w:tcPr>
            <w:tcW w:type="pct" w:w="28%"/>
          </w:tcPr>
          <w:p>
            <w:pPr>
              <w:spacing w:after="40" w:line="300"/>
            </w:pPr>
            <w:r>
              <w:rPr>
                <w:rFonts w:ascii="TH Sarabun New" w:cs="TH Sarabun New" w:eastAsia="TH Sarabun New" w:hAnsi="TH Sarabun New"/>
                <w:b w:val="false"/>
                <w:bCs w:val="false"/>
                <w:sz w:val="30"/>
                <w:szCs w:val="30"/>
              </w:rPr>
              <w:t xml:space="preserve">No Knowledge</w:t>
            </w:r>
          </w:p>
        </w:tc>
        <w:tc>
          <w:tcPr>
            <w:tcW w:type="pct" w:w="35%"/>
          </w:tcPr>
          <w:p>
            <w:pPr>
              <w:spacing w:after="40" w:line="300"/>
            </w:pPr>
            <w:r>
              <w:rPr>
                <w:rFonts w:ascii="TH Sarabun New" w:cs="TH Sarabun New" w:eastAsia="TH Sarabun New" w:hAnsi="TH Sarabun New"/>
                <w:b w:val="false"/>
                <w:bCs w:val="false"/>
                <w:sz w:val="30"/>
                <w:szCs w:val="30"/>
              </w:rPr>
              <w:t xml:space="preserve">ไม่รู้ ไม่มั่นใจ</w:t>
            </w:r>
          </w:p>
        </w:tc>
      </w:tr>
    </w:tbl>
    <w:p>
      <w:pPr>
        <w:spacing w:after="100" w:before="200"/>
      </w:pPr>
      <w:r>
        <w:rPr>
          <w:rFonts w:ascii="TH Sarabun New" w:cs="TH Sarabun New" w:eastAsia="TH Sarabun New" w:hAnsi="TH Sarabun New"/>
          <w:b/>
          <w:bCs/>
          <w:sz w:val="34"/>
          <w:szCs w:val="34"/>
        </w:rPr>
        <w:t xml:space="preserve">(4) Three-tier และ Four-tier</w:t>
      </w:r>
    </w:p>
    <w:p>
      <w:pPr>
        <w:spacing w:after="80" w:before="0" w:line="360"/>
        <w:ind w:firstLine="720"/>
        <w:jc w:val="both"/>
      </w:pPr>
      <w:r>
        <w:rPr>
          <w:rFonts w:ascii="TH Sarabun New" w:cs="TH Sarabun New" w:eastAsia="TH Sarabun New" w:hAnsi="TH Sarabun New"/>
          <w:sz w:val="32"/>
          <w:szCs w:val="32"/>
        </w:rPr>
        <w:t xml:space="preserve">ในวิวัฒนาการล่าสุด Peşman และ Eryılmaz (2010) เสนอเครื่องมือ Three-tier ที่เพิ่ม confidence rating ของทั้งคำตอบและเหตุผล ขณะที่ Caleon และ Subramaniam (2010) เสนอ Four-tier ที่แยก confidence ของ tier 1 และ tier 2 ออกจากกัน เครื่องมือเหล่านี้ให้ความละเอียดในการวินิจฉัยสูงขึ้น แต่ก็ใช้เวลาในการตอบและการวิเคราะห์ที่มากขึ้นด้วย</w:t>
      </w:r>
    </w:p>
    <w:p>
      <w:pPr>
        <w:spacing w:after="80" w:before="0" w:line="360"/>
        <w:ind w:firstLine="720"/>
        <w:jc w:val="both"/>
      </w:pPr>
      <w:r>
        <w:rPr>
          <w:rFonts w:ascii="TH Sarabun New" w:cs="TH Sarabun New" w:eastAsia="TH Sarabun New" w:hAnsi="TH Sarabun New"/>
          <w:sz w:val="32"/>
          <w:szCs w:val="32"/>
        </w:rPr>
        <w:t xml:space="preserve">งานวิจัยนี้ใช้รูปแบบ two-tier with confidence ของ Caleon และ Subramaniam (2010) ในการพัฒนาเครื่องมือ FT-01/FT-02 จำนวน 20 ข้อ เพื่อให้สามารถวินิจฉัย misconception ได้แทนที่จะวัดเพียงคะแนนรวม การเลือกใช้ two-tier (ไม่ใช่ four-tier) เป็นการประนีประนอมระหว่างความละเอียดในการวินิจฉัยกับเวลาในการสอบที่เหมาะสมกับนักเรียน ม.5 ในห้องเรียนปกติ (ใช้เวลาราว 30 นาที)</w:t>
      </w:r>
    </w:p>
    <w:p>
      <w:pPr>
        <w:spacing w:after="160" w:before="360"/>
      </w:pPr>
      <w:r>
        <w:rPr>
          <w:rFonts w:ascii="TH Sarabun New" w:cs="TH Sarabun New" w:eastAsia="TH Sarabun New" w:hAnsi="TH Sarabun New"/>
          <w:b/>
          <w:bCs/>
          <w:sz w:val="40"/>
          <w:szCs w:val="40"/>
        </w:rPr>
        <w:t xml:space="preserve">2.9  รูปแบบการจัดการเรียนรู้แบบ 4-องก์ของผู้วิจัย</w:t>
      </w:r>
    </w:p>
    <w:p>
      <w:pPr>
        <w:spacing w:after="80" w:before="0" w:line="360"/>
        <w:ind w:firstLine="720"/>
        <w:jc w:val="both"/>
      </w:pPr>
      <w:r>
        <w:rPr>
          <w:rFonts w:ascii="TH Sarabun New" w:cs="TH Sarabun New" w:eastAsia="TH Sarabun New" w:hAnsi="TH Sarabun New"/>
          <w:sz w:val="32"/>
          <w:szCs w:val="32"/>
        </w:rPr>
        <w:t xml:space="preserve">หลังจากผู้วิจัยได้วางทฤษฎีพื้นฐานทั้ง 4 ฐานคือ Active Learning, SDT, DGBL และ Conceptual Change ในส่วนที่ผ่านมาแล้ว ในส่วนนี้ผู้วิจัยจะแสดงให้เห็นว่าทฤษฎีทั้งสี่ถูกหลอมรวมเข้าด้วยกันเป็น "นวัตกรรม" รูปแบบเดียวอย่างไร นั่นคือ "รูปแบบการจัดการเรียนรู้แบบ 4-องก์" ที่เป็นหัวใจของงานวิจัยนี้</w:t>
      </w:r>
    </w:p>
    <w:p>
      <w:pPr>
        <w:spacing w:after="120" w:before="280"/>
      </w:pPr>
      <w:r>
        <w:rPr>
          <w:rFonts w:ascii="TH Sarabun New" w:cs="TH Sarabun New" w:eastAsia="TH Sarabun New" w:hAnsi="TH Sarabun New"/>
          <w:b/>
          <w:bCs/>
          <w:sz w:val="36"/>
          <w:szCs w:val="36"/>
        </w:rPr>
        <w:t xml:space="preserve">2.9.1 ที่มาของรูปแบบ 4-องก์</w:t>
      </w:r>
    </w:p>
    <w:p>
      <w:pPr>
        <w:spacing w:after="80" w:before="0" w:line="360"/>
        <w:ind w:firstLine="720"/>
        <w:jc w:val="both"/>
      </w:pPr>
      <w:r>
        <w:rPr>
          <w:rFonts w:ascii="TH Sarabun New" w:cs="TH Sarabun New" w:eastAsia="TH Sarabun New" w:hAnsi="TH Sarabun New"/>
          <w:sz w:val="32"/>
          <w:szCs w:val="32"/>
        </w:rPr>
        <w:t xml:space="preserve">ผู้วิจัยได้สังเคราะห์รูปแบบการจัดการเรียนรู้ "4-องก์" จากการบูรณาการ Active Learning + SDT + Game-Based Learning + Conceptual Change โดยใช้ทฤษฎีดราม่าโครงสร้างของ Aristotle (Beginning–Middle–End) และ Hero's Journey ของ Joseph Campbell (1949) เป็นแนวทางในการออกแบบ narrative arc ของแต่ละตอน เพื่อให้เกิด affective engagement สูงสุด สอดคล้องกับ Plass et al. (2015) ที่เน้นมิติ Affective การที่เลือก "4 องก์" (ไม่ใช่ 3 หรือ 5) เพราะเป็นจำนวนที่สอดคล้องกับ flow ของชั่วโมงเรียน 50 นาทีในห้องเรียนไทย กล่าวคือ แต่ละองก์ใช้เวลาประมาณ 10–15 นาที พอดีกับช่วงสมาธิของนักเรียน ม.5</w:t>
      </w:r>
    </w:p>
    <w:p>
      <w:pPr>
        <w:spacing w:after="120" w:before="280"/>
      </w:pPr>
      <w:r>
        <w:rPr>
          <w:rFonts w:ascii="TH Sarabun New" w:cs="TH Sarabun New" w:eastAsia="TH Sarabun New" w:hAnsi="TH Sarabun New"/>
          <w:b/>
          <w:bCs/>
          <w:sz w:val="36"/>
          <w:szCs w:val="36"/>
        </w:rPr>
        <w:t xml:space="preserve">2.9.2 องก์ที่ 1 Mission Brief (เปิดภารกิจ)</w:t>
      </w:r>
    </w:p>
    <w:p>
      <w:pPr>
        <w:spacing w:after="80" w:before="0" w:line="360"/>
        <w:ind w:firstLine="720"/>
        <w:jc w:val="both"/>
      </w:pPr>
      <w:r>
        <w:rPr>
          <w:rFonts w:ascii="TH Sarabun New" w:cs="TH Sarabun New" w:eastAsia="TH Sarabun New" w:hAnsi="TH Sarabun New"/>
          <w:b/>
          <w:bCs/>
          <w:sz w:val="32"/>
          <w:szCs w:val="32"/>
        </w:rPr>
        <w:t xml:space="preserve">เป้าหมายการเรียนรู้:  </w:t>
      </w:r>
      <w:r>
        <w:rPr>
          <w:rFonts w:ascii="TH Sarabun New" w:cs="TH Sarabun New" w:eastAsia="TH Sarabun New" w:hAnsi="TH Sarabun New"/>
          <w:sz w:val="32"/>
          <w:szCs w:val="32"/>
        </w:rPr>
        <w:t xml:space="preserve">สร้างความสนใจ เปิดมโนทัศน์เดิม และสร้างความรู้สึกเป็นเจ้าของภารกิจ</w:t>
      </w:r>
    </w:p>
    <w:p>
      <w:pPr>
        <w:spacing w:after="80" w:before="0" w:line="360"/>
        <w:ind w:firstLine="720"/>
        <w:jc w:val="both"/>
      </w:pPr>
      <w:r>
        <w:rPr>
          <w:rFonts w:ascii="TH Sarabun New" w:cs="TH Sarabun New" w:eastAsia="TH Sarabun New" w:hAnsi="TH Sarabun New"/>
          <w:b/>
          <w:bCs/>
          <w:sz w:val="32"/>
          <w:szCs w:val="32"/>
        </w:rPr>
        <w:t xml:space="preserve">กลไก:  </w:t>
      </w:r>
      <w:r>
        <w:rPr>
          <w:rFonts w:ascii="TH Sarabun New" w:cs="TH Sarabun New" w:eastAsia="TH Sarabun New" w:hAnsi="TH Sarabun New"/>
          <w:sz w:val="32"/>
          <w:szCs w:val="32"/>
        </w:rPr>
        <w:t xml:space="preserve">นำเสนอสถานการณ์ปัญหาที่ท้าทายในรูปแบบ cinematic intro · ครู/ตัวละครให้ briefing · แสดงผลตอบแทน (powers, story progression) · ให้ผู้เรียนเลือกพลัง HELION ที่จะใช้</w:t>
      </w:r>
    </w:p>
    <w:p>
      <w:pPr>
        <w:spacing w:after="80" w:before="0" w:line="360"/>
        <w:ind w:firstLine="720"/>
        <w:jc w:val="both"/>
      </w:pPr>
      <w:r>
        <w:rPr>
          <w:rFonts w:ascii="TH Sarabun New" w:cs="TH Sarabun New" w:eastAsia="TH Sarabun New" w:hAnsi="TH Sarabun New"/>
          <w:b/>
          <w:bCs/>
          <w:sz w:val="32"/>
          <w:szCs w:val="32"/>
        </w:rPr>
        <w:t xml:space="preserve">เชื่อมทฤษฎี:  </w:t>
      </w:r>
      <w:r>
        <w:rPr>
          <w:rFonts w:ascii="TH Sarabun New" w:cs="TH Sarabun New" w:eastAsia="TH Sarabun New" w:hAnsi="TH Sarabun New"/>
          <w:sz w:val="32"/>
          <w:szCs w:val="32"/>
        </w:rPr>
        <w:t xml:space="preserve">ตอบสนองมิติ Autonomy ของ SDT (ผู้เรียนเลือกได้ว่าจะเข้าสู่ภารกิจอย่างไร) · ตอบสนองเงื่อนไข Dissatisfaction ของ Posner (กระตุ้นให้รู้สึกว่ามโนทัศน์เดิมไม่พอ) · ตอบ Curiosity ของ Malone-Lepper (ความอยากรู้)</w:t>
      </w:r>
    </w:p>
    <w:p>
      <w:pPr>
        <w:spacing w:after="120" w:before="280"/>
      </w:pPr>
      <w:r>
        <w:rPr>
          <w:rFonts w:ascii="TH Sarabun New" w:cs="TH Sarabun New" w:eastAsia="TH Sarabun New" w:hAnsi="TH Sarabun New"/>
          <w:b/>
          <w:bCs/>
          <w:sz w:val="36"/>
          <w:szCs w:val="36"/>
        </w:rPr>
        <w:t xml:space="preserve">2.9.3 องก์ที่ 2 Lab Build (ปฏิบัติ-จำลอง)</w:t>
      </w:r>
    </w:p>
    <w:p>
      <w:pPr>
        <w:spacing w:after="80" w:before="0" w:line="360"/>
        <w:ind w:firstLine="720"/>
        <w:jc w:val="both"/>
      </w:pPr>
      <w:r>
        <w:rPr>
          <w:rFonts w:ascii="TH Sarabun New" w:cs="TH Sarabun New" w:eastAsia="TH Sarabun New" w:hAnsi="TH Sarabun New"/>
          <w:b/>
          <w:bCs/>
          <w:sz w:val="32"/>
          <w:szCs w:val="32"/>
        </w:rPr>
        <w:t xml:space="preserve">เป้าหมายการเรียนรู้:  </w:t>
      </w:r>
      <w:r>
        <w:rPr>
          <w:rFonts w:ascii="TH Sarabun New" w:cs="TH Sarabun New" w:eastAsia="TH Sarabun New" w:hAnsi="TH Sarabun New"/>
          <w:sz w:val="32"/>
          <w:szCs w:val="32"/>
        </w:rPr>
        <w:t xml:space="preserve">สร้างมโนทัศน์ใหม่ผ่านประสบการณ์ตรงในสภาพแวดล้อมเสมือน</w:t>
      </w:r>
    </w:p>
    <w:p>
      <w:pPr>
        <w:spacing w:after="80" w:before="0" w:line="360"/>
        <w:ind w:firstLine="720"/>
        <w:jc w:val="both"/>
      </w:pPr>
      <w:r>
        <w:rPr>
          <w:rFonts w:ascii="TH Sarabun New" w:cs="TH Sarabun New" w:eastAsia="TH Sarabun New" w:hAnsi="TH Sarabun New"/>
          <w:b/>
          <w:bCs/>
          <w:sz w:val="32"/>
          <w:szCs w:val="32"/>
        </w:rPr>
        <w:t xml:space="preserve">กลไก:  </w:t>
      </w:r>
      <w:r>
        <w:rPr>
          <w:rFonts w:ascii="TH Sarabun New" w:cs="TH Sarabun New" w:eastAsia="TH Sarabun New" w:hAnsi="TH Sarabun New"/>
          <w:sz w:val="32"/>
          <w:szCs w:val="32"/>
        </w:rPr>
        <w:t xml:space="preserve">ผู้เรียนลงมือทำ จำลอง คำนวณ ทดลอง ผ่าน puzzle แบบต่าง ๆ เช่น drag-drop tuning fork (EP02) · slot grid (EP04) · simulation slider (EP05) · cipher decoder (EP07) มีระบบ feedback ทันทีและ scaffolded hint</w:t>
      </w:r>
    </w:p>
    <w:p>
      <w:pPr>
        <w:spacing w:after="80" w:before="0" w:line="360"/>
        <w:ind w:firstLine="720"/>
        <w:jc w:val="both"/>
      </w:pPr>
      <w:r>
        <w:rPr>
          <w:rFonts w:ascii="TH Sarabun New" w:cs="TH Sarabun New" w:eastAsia="TH Sarabun New" w:hAnsi="TH Sarabun New"/>
          <w:b/>
          <w:bCs/>
          <w:sz w:val="32"/>
          <w:szCs w:val="32"/>
        </w:rPr>
        <w:t xml:space="preserve">เชื่อมทฤษฎี:  </w:t>
      </w:r>
      <w:r>
        <w:rPr>
          <w:rFonts w:ascii="TH Sarabun New" w:cs="TH Sarabun New" w:eastAsia="TH Sarabun New" w:hAnsi="TH Sarabun New"/>
          <w:sz w:val="32"/>
          <w:szCs w:val="32"/>
        </w:rPr>
        <w:t xml:space="preserve">ตอบสนอง Competence ผ่าน scaffolded challenge และ immediate feedback · ตอบสนอง Cognitive และ Motivational ใน framework ของ Plass et al. · ตอบสนองเงื่อนไข Intelligibility และ Plausibility ของ Posner</w:t>
      </w:r>
    </w:p>
    <w:p>
      <w:pPr>
        <w:spacing w:after="120" w:before="280"/>
      </w:pPr>
      <w:r>
        <w:rPr>
          <w:rFonts w:ascii="TH Sarabun New" w:cs="TH Sarabun New" w:eastAsia="TH Sarabun New" w:hAnsi="TH Sarabun New"/>
          <w:b/>
          <w:bCs/>
          <w:sz w:val="36"/>
          <w:szCs w:val="36"/>
        </w:rPr>
        <w:t xml:space="preserve">2.9.4 องก์ที่ 3 Boss Fight (ประยุกต์ในสถานการณ์ท้าทาย)</w:t>
      </w:r>
    </w:p>
    <w:p>
      <w:pPr>
        <w:spacing w:after="80" w:before="0" w:line="360"/>
        <w:ind w:firstLine="720"/>
        <w:jc w:val="both"/>
      </w:pPr>
      <w:r>
        <w:rPr>
          <w:rFonts w:ascii="TH Sarabun New" w:cs="TH Sarabun New" w:eastAsia="TH Sarabun New" w:hAnsi="TH Sarabun New"/>
          <w:b/>
          <w:bCs/>
          <w:sz w:val="32"/>
          <w:szCs w:val="32"/>
        </w:rPr>
        <w:t xml:space="preserve">เป้าหมายการเรียนรู้:  </w:t>
      </w:r>
      <w:r>
        <w:rPr>
          <w:rFonts w:ascii="TH Sarabun New" w:cs="TH Sarabun New" w:eastAsia="TH Sarabun New" w:hAnsi="TH Sarabun New"/>
          <w:sz w:val="32"/>
          <w:szCs w:val="32"/>
        </w:rPr>
        <w:t xml:space="preserve">ประยุกต์ความรู้ในสถานการณ์ที่ท้าทายระดับสูง ทดสอบความคงทนของมโนทัศน์ใหม่</w:t>
      </w:r>
    </w:p>
    <w:p>
      <w:pPr>
        <w:spacing w:after="80" w:before="0" w:line="360"/>
        <w:ind w:firstLine="720"/>
        <w:jc w:val="both"/>
      </w:pPr>
      <w:r>
        <w:rPr>
          <w:rFonts w:ascii="TH Sarabun New" w:cs="TH Sarabun New" w:eastAsia="TH Sarabun New" w:hAnsi="TH Sarabun New"/>
          <w:b/>
          <w:bCs/>
          <w:sz w:val="32"/>
          <w:szCs w:val="32"/>
        </w:rPr>
        <w:t xml:space="preserve">กลไก:  </w:t>
      </w:r>
      <w:r>
        <w:rPr>
          <w:rFonts w:ascii="TH Sarabun New" w:cs="TH Sarabun New" w:eastAsia="TH Sarabun New" w:hAnsi="TH Sarabun New"/>
          <w:sz w:val="32"/>
          <w:szCs w:val="32"/>
        </w:rPr>
        <w:t xml:space="preserve">บอสประจำตอน เช่น VOID 3-phase (EP02) · WARP RUN (EP03) · GRAVITY ASCENT (EP04) · SOLAR STORM (EP05) · CIPHER (EP07) · GENESIS FORGE 4-phase (EP08) ที่ผู้เรียนต้องใช้ทักษะที่เรียนมาแบบบูรณาการ มี 2-3 phase ที่เพิ่มความยากเรื่อย ๆ</w:t>
      </w:r>
    </w:p>
    <w:p>
      <w:pPr>
        <w:spacing w:after="80" w:before="0" w:line="360"/>
        <w:ind w:firstLine="720"/>
        <w:jc w:val="both"/>
      </w:pPr>
      <w:r>
        <w:rPr>
          <w:rFonts w:ascii="TH Sarabun New" w:cs="TH Sarabun New" w:eastAsia="TH Sarabun New" w:hAnsi="TH Sarabun New"/>
          <w:b/>
          <w:bCs/>
          <w:sz w:val="32"/>
          <w:szCs w:val="32"/>
        </w:rPr>
        <w:t xml:space="preserve">เชื่อมทฤษฎี:  </w:t>
      </w:r>
      <w:r>
        <w:rPr>
          <w:rFonts w:ascii="TH Sarabun New" w:cs="TH Sarabun New" w:eastAsia="TH Sarabun New" w:hAnsi="TH Sarabun New"/>
          <w:sz w:val="32"/>
          <w:szCs w:val="32"/>
        </w:rPr>
        <w:t xml:space="preserve">ตอบสนองทั้ง Competence (ความท้าทายเหมาะสม flow channel ของ Csikszentmihalyi) และ Relatedness (leaderboard · เปรียบเทียบกับเพื่อน) · ตอบสนองเงื่อนไข Fruitfulness ของ Posner (มโนทัศน์ใหม่ใช้แก้ปัญหาท้าทายได้) · ตอบ Challenge ของ Malone-Lepper</w:t>
      </w:r>
    </w:p>
    <w:p>
      <w:pPr>
        <w:spacing w:after="120" w:before="280"/>
      </w:pPr>
      <w:r>
        <w:rPr>
          <w:rFonts w:ascii="TH Sarabun New" w:cs="TH Sarabun New" w:eastAsia="TH Sarabun New" w:hAnsi="TH Sarabun New"/>
          <w:b/>
          <w:bCs/>
          <w:sz w:val="36"/>
          <w:szCs w:val="36"/>
        </w:rPr>
        <w:t xml:space="preserve">2.9.5 องก์ที่ 4 Reflection (สะท้อนคิด)</w:t>
      </w:r>
    </w:p>
    <w:p>
      <w:pPr>
        <w:spacing w:after="80" w:before="0" w:line="360"/>
        <w:ind w:firstLine="720"/>
        <w:jc w:val="both"/>
      </w:pPr>
      <w:r>
        <w:rPr>
          <w:rFonts w:ascii="TH Sarabun New" w:cs="TH Sarabun New" w:eastAsia="TH Sarabun New" w:hAnsi="TH Sarabun New"/>
          <w:b/>
          <w:bCs/>
          <w:sz w:val="32"/>
          <w:szCs w:val="32"/>
        </w:rPr>
        <w:t xml:space="preserve">เป้าหมายการเรียนรู้:  </w:t>
      </w:r>
      <w:r>
        <w:rPr>
          <w:rFonts w:ascii="TH Sarabun New" w:cs="TH Sarabun New" w:eastAsia="TH Sarabun New" w:hAnsi="TH Sarabun New"/>
          <w:sz w:val="32"/>
          <w:szCs w:val="32"/>
        </w:rPr>
        <w:t xml:space="preserve">ตอกย้ำมโนทัศน์ใหม่ พัฒนา metacognition และเชื่อมโยงกับชีวิตจริง</w:t>
      </w:r>
    </w:p>
    <w:p>
      <w:pPr>
        <w:spacing w:after="80" w:before="0" w:line="360"/>
        <w:ind w:firstLine="720"/>
        <w:jc w:val="both"/>
      </w:pPr>
      <w:r>
        <w:rPr>
          <w:rFonts w:ascii="TH Sarabun New" w:cs="TH Sarabun New" w:eastAsia="TH Sarabun New" w:hAnsi="TH Sarabun New"/>
          <w:b/>
          <w:bCs/>
          <w:sz w:val="32"/>
          <w:szCs w:val="32"/>
        </w:rPr>
        <w:t xml:space="preserve">กลไก:  </w:t>
      </w:r>
      <w:r>
        <w:rPr>
          <w:rFonts w:ascii="TH Sarabun New" w:cs="TH Sarabun New" w:eastAsia="TH Sarabun New" w:hAnsi="TH Sarabun New"/>
          <w:sz w:val="32"/>
          <w:szCs w:val="32"/>
        </w:rPr>
        <w:t xml:space="preserve">Journal 3-2-1 (3 สิ่งที่เรียนรู้ใหม่ · 2 สิ่งน่าสนใจ · 1 คำถามที่อยากรู้ต่อ) · post-test FT-02 · cliffhanger ที่นำไปสู่ EP ถัดไป</w:t>
      </w:r>
    </w:p>
    <w:p>
      <w:pPr>
        <w:spacing w:after="80" w:before="0" w:line="360"/>
        <w:ind w:firstLine="720"/>
        <w:jc w:val="both"/>
      </w:pPr>
      <w:r>
        <w:rPr>
          <w:rFonts w:ascii="TH Sarabun New" w:cs="TH Sarabun New" w:eastAsia="TH Sarabun New" w:hAnsi="TH Sarabun New"/>
          <w:b/>
          <w:bCs/>
          <w:sz w:val="32"/>
          <w:szCs w:val="32"/>
        </w:rPr>
        <w:t xml:space="preserve">เชื่อมทฤษฎี:  </w:t>
      </w:r>
      <w:r>
        <w:rPr>
          <w:rFonts w:ascii="TH Sarabun New" w:cs="TH Sarabun New" w:eastAsia="TH Sarabun New" w:hAnsi="TH Sarabun New"/>
          <w:sz w:val="32"/>
          <w:szCs w:val="32"/>
        </w:rPr>
        <w:t xml:space="preserve">ตอบสนองหลักการ Reflection ของ Active Learning · ส่งเสริม metacognition ตาม Vosniadou (2013) · เชื่อมโยงไปสู่ Sociocultural ใน framework ของ Plass et al. · ตอบ Integrated Regulation ของ OIT (รับมโนทัศน์ใหม่เข้าเป็นของตน)</w:t>
      </w:r>
    </w:p>
    <w:p>
      <w:pPr>
        <w:spacing w:after="120" w:before="280"/>
      </w:pPr>
      <w:r>
        <w:rPr>
          <w:rFonts w:ascii="TH Sarabun New" w:cs="TH Sarabun New" w:eastAsia="TH Sarabun New" w:hAnsi="TH Sarabun New"/>
          <w:b/>
          <w:bCs/>
          <w:sz w:val="36"/>
          <w:szCs w:val="36"/>
        </w:rPr>
        <w:t xml:space="preserve">2.9.6 ผังรวมของรูปแบบ 4-องก์</w:t>
      </w:r>
    </w:p>
    <w:p>
      <w:pPr>
        <w:spacing w:after="80" w:before="0" w:line="360"/>
        <w:ind w:firstLine="720"/>
        <w:jc w:val="both"/>
      </w:pPr>
      <w:r>
        <w:rPr>
          <w:rFonts w:ascii="TH Sarabun New" w:cs="TH Sarabun New" w:eastAsia="TH Sarabun New" w:hAnsi="TH Sarabun New"/>
          <w:sz w:val="32"/>
          <w:szCs w:val="32"/>
        </w:rPr>
        <w:t xml:space="preserve">การจับคู่ทฤษฎีกับ 4 องก์ของแต่ละ EP ในงานวิจัยนี้ไม่ใช่เรื่องบังเอิญ แต่เป็นการออกแบบที่จงใจให้ทฤษฎีหลายฐานทำงานพร้อมกันในแต่ละขั้น ดังตารางที่ 2.9</w:t>
      </w:r>
    </w:p>
    <w:p>
      <w:pPr>
        <w:spacing w:after="100" w:before="200"/>
      </w:pPr>
      <w:r>
        <w:rPr>
          <w:rFonts w:ascii="TH Sarabun New" w:cs="TH Sarabun New" w:eastAsia="TH Sarabun New" w:hAnsi="TH Sarabun New"/>
          <w:b/>
          <w:bCs/>
          <w:sz w:val="32"/>
          <w:szCs w:val="32"/>
        </w:rPr>
        <w:t xml:space="preserve">ตารางที่ 2.9  ความสัมพันธ์ระหว่างองก์ ความต้องการ SDT เงื่อนไขเปลี่ยนมโนทัศน์ และกิจกรรมตัวอย่าง</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gridCol w:w="100"/>
      </w:tblGrid>
      <w:tr>
        <w:trPr>
          <w:tblHeader/>
        </w:trPr>
        <w:tc>
          <w:tcPr>
            <w:tcW w:type="pct" w:w="22%"/>
            <w:shd w:fill="D9E2F3" w:color="auto" w:val="clear"/>
          </w:tcPr>
          <w:p>
            <w:pPr>
              <w:spacing w:after="40" w:line="300"/>
            </w:pPr>
            <w:r>
              <w:rPr>
                <w:rFonts w:ascii="TH Sarabun New" w:cs="TH Sarabun New" w:eastAsia="TH Sarabun New" w:hAnsi="TH Sarabun New"/>
                <w:b/>
                <w:bCs/>
                <w:sz w:val="30"/>
                <w:szCs w:val="30"/>
              </w:rPr>
              <w:t xml:space="preserve">องก์</w:t>
            </w:r>
          </w:p>
        </w:tc>
        <w:tc>
          <w:tcPr>
            <w:tcW w:type="pct" w:w="22%"/>
            <w:shd w:fill="D9E2F3" w:color="auto" w:val="clear"/>
          </w:tcPr>
          <w:p>
            <w:pPr>
              <w:spacing w:after="40" w:line="300"/>
            </w:pPr>
            <w:r>
              <w:rPr>
                <w:rFonts w:ascii="TH Sarabun New" w:cs="TH Sarabun New" w:eastAsia="TH Sarabun New" w:hAnsi="TH Sarabun New"/>
                <w:b/>
                <w:bCs/>
                <w:sz w:val="30"/>
                <w:szCs w:val="30"/>
              </w:rPr>
              <w:t xml:space="preserve">SDT</w:t>
            </w:r>
          </w:p>
        </w:tc>
        <w:tc>
          <w:tcPr>
            <w:tcW w:type="pct" w:w="22%"/>
            <w:shd w:fill="D9E2F3" w:color="auto" w:val="clear"/>
          </w:tcPr>
          <w:p>
            <w:pPr>
              <w:spacing w:after="40" w:line="300"/>
            </w:pPr>
            <w:r>
              <w:rPr>
                <w:rFonts w:ascii="TH Sarabun New" w:cs="TH Sarabun New" w:eastAsia="TH Sarabun New" w:hAnsi="TH Sarabun New"/>
                <w:b/>
                <w:bCs/>
                <w:sz w:val="30"/>
                <w:szCs w:val="30"/>
              </w:rPr>
              <w:t xml:space="preserve">Posner</w:t>
            </w:r>
          </w:p>
        </w:tc>
        <w:tc>
          <w:tcPr>
            <w:tcW w:type="pct" w:w="34%"/>
            <w:shd w:fill="D9E2F3" w:color="auto" w:val="clear"/>
          </w:tcPr>
          <w:p>
            <w:pPr>
              <w:spacing w:after="40" w:line="300"/>
            </w:pPr>
            <w:r>
              <w:rPr>
                <w:rFonts w:ascii="TH Sarabun New" w:cs="TH Sarabun New" w:eastAsia="TH Sarabun New" w:hAnsi="TH Sarabun New"/>
                <w:b/>
                <w:bCs/>
                <w:sz w:val="30"/>
                <w:szCs w:val="30"/>
              </w:rPr>
              <w:t xml:space="preserve">กิจกรรมตัวอย่าง</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1. Mission Brief</w:t>
            </w:r>
          </w:p>
        </w:tc>
        <w:tc>
          <w:tcPr>
            <w:tcW w:type="pct" w:w="22%"/>
          </w:tcPr>
          <w:p>
            <w:pPr>
              <w:spacing w:after="40" w:line="300"/>
            </w:pPr>
            <w:r>
              <w:rPr>
                <w:rFonts w:ascii="TH Sarabun New" w:cs="TH Sarabun New" w:eastAsia="TH Sarabun New" w:hAnsi="TH Sarabun New"/>
                <w:b w:val="false"/>
                <w:bCs w:val="false"/>
                <w:sz w:val="30"/>
                <w:szCs w:val="30"/>
              </w:rPr>
              <w:t xml:space="preserve">Autonomy</w:t>
            </w:r>
          </w:p>
        </w:tc>
        <w:tc>
          <w:tcPr>
            <w:tcW w:type="pct" w:w="22%"/>
          </w:tcPr>
          <w:p>
            <w:pPr>
              <w:spacing w:after="40" w:line="300"/>
            </w:pPr>
            <w:r>
              <w:rPr>
                <w:rFonts w:ascii="TH Sarabun New" w:cs="TH Sarabun New" w:eastAsia="TH Sarabun New" w:hAnsi="TH Sarabun New"/>
                <w:b w:val="false"/>
                <w:bCs w:val="false"/>
                <w:sz w:val="30"/>
                <w:szCs w:val="30"/>
              </w:rPr>
              <w:t xml:space="preserve">Dissatisfaction</w:t>
            </w:r>
          </w:p>
        </w:tc>
        <w:tc>
          <w:tcPr>
            <w:tcW w:type="pct" w:w="34%"/>
          </w:tcPr>
          <w:p>
            <w:pPr>
              <w:spacing w:after="40" w:line="300"/>
            </w:pPr>
            <w:r>
              <w:rPr>
                <w:rFonts w:ascii="TH Sarabun New" w:cs="TH Sarabun New" w:eastAsia="TH Sarabun New" w:hAnsi="TH Sarabun New"/>
                <w:b w:val="false"/>
                <w:bCs w:val="false"/>
                <w:sz w:val="30"/>
                <w:szCs w:val="30"/>
              </w:rPr>
              <w:t xml:space="preserve">Cinematic intro · เลือกพลัง HELION</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2. Lab Build</w:t>
            </w:r>
          </w:p>
        </w:tc>
        <w:tc>
          <w:tcPr>
            <w:tcW w:type="pct" w:w="22%"/>
          </w:tcPr>
          <w:p>
            <w:pPr>
              <w:spacing w:after="40" w:line="300"/>
            </w:pPr>
            <w:r>
              <w:rPr>
                <w:rFonts w:ascii="TH Sarabun New" w:cs="TH Sarabun New" w:eastAsia="TH Sarabun New" w:hAnsi="TH Sarabun New"/>
                <w:b w:val="false"/>
                <w:bCs w:val="false"/>
                <w:sz w:val="30"/>
                <w:szCs w:val="30"/>
              </w:rPr>
              <w:t xml:space="preserve">Competence</w:t>
            </w:r>
          </w:p>
        </w:tc>
        <w:tc>
          <w:tcPr>
            <w:tcW w:type="pct" w:w="22%"/>
          </w:tcPr>
          <w:p>
            <w:pPr>
              <w:spacing w:after="40" w:line="300"/>
            </w:pPr>
            <w:r>
              <w:rPr>
                <w:rFonts w:ascii="TH Sarabun New" w:cs="TH Sarabun New" w:eastAsia="TH Sarabun New" w:hAnsi="TH Sarabun New"/>
                <w:b w:val="false"/>
                <w:bCs w:val="false"/>
                <w:sz w:val="30"/>
                <w:szCs w:val="30"/>
              </w:rPr>
              <w:t xml:space="preserve">Intelligibility · Plausibility</w:t>
            </w:r>
          </w:p>
        </w:tc>
        <w:tc>
          <w:tcPr>
            <w:tcW w:type="pct" w:w="34%"/>
          </w:tcPr>
          <w:p>
            <w:pPr>
              <w:spacing w:after="40" w:line="300"/>
            </w:pPr>
            <w:r>
              <w:rPr>
                <w:rFonts w:ascii="TH Sarabun New" w:cs="TH Sarabun New" w:eastAsia="TH Sarabun New" w:hAnsi="TH Sarabun New"/>
                <w:b w:val="false"/>
                <w:bCs w:val="false"/>
                <w:sz w:val="30"/>
                <w:szCs w:val="30"/>
              </w:rPr>
              <w:t xml:space="preserve">Drag-drop · Simulation · คำนวณ d=1/p</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3. Boss Fight</w:t>
            </w:r>
          </w:p>
        </w:tc>
        <w:tc>
          <w:tcPr>
            <w:tcW w:type="pct" w:w="22%"/>
          </w:tcPr>
          <w:p>
            <w:pPr>
              <w:spacing w:after="40" w:line="300"/>
            </w:pPr>
            <w:r>
              <w:rPr>
                <w:rFonts w:ascii="TH Sarabun New" w:cs="TH Sarabun New" w:eastAsia="TH Sarabun New" w:hAnsi="TH Sarabun New"/>
                <w:b w:val="false"/>
                <w:bCs w:val="false"/>
                <w:sz w:val="30"/>
                <w:szCs w:val="30"/>
              </w:rPr>
              <w:t xml:space="preserve">Competence + Relatedness</w:t>
            </w:r>
          </w:p>
        </w:tc>
        <w:tc>
          <w:tcPr>
            <w:tcW w:type="pct" w:w="22%"/>
          </w:tcPr>
          <w:p>
            <w:pPr>
              <w:spacing w:after="40" w:line="300"/>
            </w:pPr>
            <w:r>
              <w:rPr>
                <w:rFonts w:ascii="TH Sarabun New" w:cs="TH Sarabun New" w:eastAsia="TH Sarabun New" w:hAnsi="TH Sarabun New"/>
                <w:b w:val="false"/>
                <w:bCs w:val="false"/>
                <w:sz w:val="30"/>
                <w:szCs w:val="30"/>
              </w:rPr>
              <w:t xml:space="preserve">Fruitfulness</w:t>
            </w:r>
          </w:p>
        </w:tc>
        <w:tc>
          <w:tcPr>
            <w:tcW w:type="pct" w:w="34%"/>
          </w:tcPr>
          <w:p>
            <w:pPr>
              <w:spacing w:after="40" w:line="300"/>
            </w:pPr>
            <w:r>
              <w:rPr>
                <w:rFonts w:ascii="TH Sarabun New" w:cs="TH Sarabun New" w:eastAsia="TH Sarabun New" w:hAnsi="TH Sarabun New"/>
                <w:b w:val="false"/>
                <w:bCs w:val="false"/>
                <w:sz w:val="30"/>
                <w:szCs w:val="30"/>
              </w:rPr>
              <w:t xml:space="preserve">VOID 3-phase · GENESIS FORGE 4-phase</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4. Reflection</w:t>
            </w:r>
          </w:p>
        </w:tc>
        <w:tc>
          <w:tcPr>
            <w:tcW w:type="pct" w:w="22%"/>
          </w:tcPr>
          <w:p>
            <w:pPr>
              <w:spacing w:after="40" w:line="300"/>
            </w:pPr>
            <w:r>
              <w:rPr>
                <w:rFonts w:ascii="TH Sarabun New" w:cs="TH Sarabun New" w:eastAsia="TH Sarabun New" w:hAnsi="TH Sarabun New"/>
                <w:b w:val="false"/>
                <w:bCs w:val="false"/>
                <w:sz w:val="30"/>
                <w:szCs w:val="30"/>
              </w:rPr>
              <w:t xml:space="preserve">ทั้ง 3 มิติ</w:t>
            </w:r>
          </w:p>
        </w:tc>
        <w:tc>
          <w:tcPr>
            <w:tcW w:type="pct" w:w="22%"/>
          </w:tcPr>
          <w:p>
            <w:pPr>
              <w:spacing w:after="40" w:line="300"/>
            </w:pPr>
            <w:r>
              <w:rPr>
                <w:rFonts w:ascii="TH Sarabun New" w:cs="TH Sarabun New" w:eastAsia="TH Sarabun New" w:hAnsi="TH Sarabun New"/>
                <w:b w:val="false"/>
                <w:bCs w:val="false"/>
                <w:sz w:val="30"/>
                <w:szCs w:val="30"/>
              </w:rPr>
              <w:t xml:space="preserve">เสริมความคงทน</w:t>
            </w:r>
          </w:p>
        </w:tc>
        <w:tc>
          <w:tcPr>
            <w:tcW w:type="pct" w:w="34%"/>
          </w:tcPr>
          <w:p>
            <w:pPr>
              <w:spacing w:after="40" w:line="300"/>
            </w:pPr>
            <w:r>
              <w:rPr>
                <w:rFonts w:ascii="TH Sarabun New" w:cs="TH Sarabun New" w:eastAsia="TH Sarabun New" w:hAnsi="TH Sarabun New"/>
                <w:b w:val="false"/>
                <w:bCs w:val="false"/>
                <w:sz w:val="30"/>
                <w:szCs w:val="30"/>
              </w:rPr>
              <w:t xml:space="preserve">Journal 3-2-1 · FT-02 · cliffhanger</w:t>
            </w:r>
          </w:p>
        </w:tc>
      </w:tr>
    </w:tbl>
    <w:p>
      <w:pPr>
        <w:spacing w:after="120" w:before="280"/>
      </w:pPr>
      <w:r>
        <w:rPr>
          <w:rFonts w:ascii="TH Sarabun New" w:cs="TH Sarabun New" w:eastAsia="TH Sarabun New" w:hAnsi="TH Sarabun New"/>
          <w:b/>
          <w:bCs/>
          <w:sz w:val="36"/>
          <w:szCs w:val="36"/>
        </w:rPr>
        <w:t xml:space="preserve">2.9.7 เปรียบเทียบกับรูปแบบการสอนที่ใกล้เคียง</w:t>
      </w:r>
    </w:p>
    <w:p>
      <w:pPr>
        <w:spacing w:after="80" w:before="0" w:line="360"/>
        <w:ind w:firstLine="720"/>
        <w:jc w:val="both"/>
      </w:pPr>
      <w:r>
        <w:rPr>
          <w:rFonts w:ascii="TH Sarabun New" w:cs="TH Sarabun New" w:eastAsia="TH Sarabun New" w:hAnsi="TH Sarabun New"/>
          <w:sz w:val="32"/>
          <w:szCs w:val="32"/>
        </w:rPr>
        <w:t xml:space="preserve">รูปแบบ 4-องก์ของผู้วิจัยไม่ได้ถือกำเนิดในสุญญากาศ แต่ตั้งอยู่บนรูปแบบการสอนที่มีอยู่แล้วและขยายต่อมา การเปรียบเทียบกับรูปแบบที่ใกล้เคียงทำให้เห็นจุดร่วมและจุดต่างได้ชัดเจน</w:t>
      </w:r>
    </w:p>
    <w:p>
      <w:pPr>
        <w:spacing w:after="100" w:before="200"/>
      </w:pPr>
      <w:r>
        <w:rPr>
          <w:rFonts w:ascii="TH Sarabun New" w:cs="TH Sarabun New" w:eastAsia="TH Sarabun New" w:hAnsi="TH Sarabun New"/>
          <w:b/>
          <w:bCs/>
          <w:sz w:val="32"/>
          <w:szCs w:val="32"/>
        </w:rPr>
        <w:t xml:space="preserve">ตารางที่ 2.10  เปรียบเทียบรูปแบบ 4-องก์ของผู้วิจัยกับรูปแบบการสอนที่ใกล้เคียง</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gridCol w:w="100"/>
        <w:gridCol w:w="100"/>
      </w:tblGrid>
      <w:tr>
        <w:trPr>
          <w:tblHeader/>
        </w:trPr>
        <w:tc>
          <w:tcPr>
            <w:tcW w:type="pct" w:w="22%"/>
            <w:shd w:fill="D9E2F3" w:color="auto" w:val="clear"/>
          </w:tcPr>
          <w:p>
            <w:pPr>
              <w:spacing w:after="40" w:line="300"/>
            </w:pPr>
            <w:r>
              <w:rPr>
                <w:rFonts w:ascii="TH Sarabun New" w:cs="TH Sarabun New" w:eastAsia="TH Sarabun New" w:hAnsi="TH Sarabun New"/>
                <w:b/>
                <w:bCs/>
                <w:sz w:val="30"/>
                <w:szCs w:val="30"/>
              </w:rPr>
              <w:t xml:space="preserve">รูปแบบ</w:t>
            </w:r>
          </w:p>
        </w:tc>
        <w:tc>
          <w:tcPr>
            <w:tcW w:type="pct" w:w="18%"/>
            <w:shd w:fill="D9E2F3" w:color="auto" w:val="clear"/>
          </w:tcPr>
          <w:p>
            <w:pPr>
              <w:spacing w:after="40" w:line="300"/>
            </w:pPr>
            <w:r>
              <w:rPr>
                <w:rFonts w:ascii="TH Sarabun New" w:cs="TH Sarabun New" w:eastAsia="TH Sarabun New" w:hAnsi="TH Sarabun New"/>
                <w:b/>
                <w:bCs/>
                <w:sz w:val="30"/>
                <w:szCs w:val="30"/>
              </w:rPr>
              <w:t xml:space="preserve">ขั้นที่ 1</w:t>
            </w:r>
          </w:p>
        </w:tc>
        <w:tc>
          <w:tcPr>
            <w:tcW w:type="pct" w:w="22%"/>
            <w:shd w:fill="D9E2F3" w:color="auto" w:val="clear"/>
          </w:tcPr>
          <w:p>
            <w:pPr>
              <w:spacing w:after="40" w:line="300"/>
            </w:pPr>
            <w:r>
              <w:rPr>
                <w:rFonts w:ascii="TH Sarabun New" w:cs="TH Sarabun New" w:eastAsia="TH Sarabun New" w:hAnsi="TH Sarabun New"/>
                <w:b/>
                <w:bCs/>
                <w:sz w:val="30"/>
                <w:szCs w:val="30"/>
              </w:rPr>
              <w:t xml:space="preserve">ขั้นที่ 2</w:t>
            </w:r>
          </w:p>
        </w:tc>
        <w:tc>
          <w:tcPr>
            <w:tcW w:type="pct" w:w="18%"/>
            <w:shd w:fill="D9E2F3" w:color="auto" w:val="clear"/>
          </w:tcPr>
          <w:p>
            <w:pPr>
              <w:spacing w:after="40" w:line="300"/>
            </w:pPr>
            <w:r>
              <w:rPr>
                <w:rFonts w:ascii="TH Sarabun New" w:cs="TH Sarabun New" w:eastAsia="TH Sarabun New" w:hAnsi="TH Sarabun New"/>
                <w:b/>
                <w:bCs/>
                <w:sz w:val="30"/>
                <w:szCs w:val="30"/>
              </w:rPr>
              <w:t xml:space="preserve">ขั้นที่ 3</w:t>
            </w:r>
          </w:p>
        </w:tc>
        <w:tc>
          <w:tcPr>
            <w:tcW w:type="pct" w:w="20%"/>
            <w:shd w:fill="D9E2F3" w:color="auto" w:val="clear"/>
          </w:tcPr>
          <w:p>
            <w:pPr>
              <w:spacing w:after="40" w:line="300"/>
            </w:pPr>
            <w:r>
              <w:rPr>
                <w:rFonts w:ascii="TH Sarabun New" w:cs="TH Sarabun New" w:eastAsia="TH Sarabun New" w:hAnsi="TH Sarabun New"/>
                <w:b/>
                <w:bCs/>
                <w:sz w:val="30"/>
                <w:szCs w:val="30"/>
              </w:rPr>
              <w:t xml:space="preserve">ขั้นที่ 4-7</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5E (BSCS)</w:t>
            </w:r>
          </w:p>
        </w:tc>
        <w:tc>
          <w:tcPr>
            <w:tcW w:type="pct" w:w="18%"/>
          </w:tcPr>
          <w:p>
            <w:pPr>
              <w:spacing w:after="40" w:line="300"/>
            </w:pPr>
            <w:r>
              <w:rPr>
                <w:rFonts w:ascii="TH Sarabun New" w:cs="TH Sarabun New" w:eastAsia="TH Sarabun New" w:hAnsi="TH Sarabun New"/>
                <w:b w:val="false"/>
                <w:bCs w:val="false"/>
                <w:sz w:val="30"/>
                <w:szCs w:val="30"/>
              </w:rPr>
              <w:t xml:space="preserve">Engage</w:t>
            </w:r>
          </w:p>
        </w:tc>
        <w:tc>
          <w:tcPr>
            <w:tcW w:type="pct" w:w="22%"/>
          </w:tcPr>
          <w:p>
            <w:pPr>
              <w:spacing w:after="40" w:line="300"/>
            </w:pPr>
            <w:r>
              <w:rPr>
                <w:rFonts w:ascii="TH Sarabun New" w:cs="TH Sarabun New" w:eastAsia="TH Sarabun New" w:hAnsi="TH Sarabun New"/>
                <w:b w:val="false"/>
                <w:bCs w:val="false"/>
                <w:sz w:val="30"/>
                <w:szCs w:val="30"/>
              </w:rPr>
              <w:t xml:space="preserve">Explore</w:t>
            </w:r>
          </w:p>
        </w:tc>
        <w:tc>
          <w:tcPr>
            <w:tcW w:type="pct" w:w="18%"/>
          </w:tcPr>
          <w:p>
            <w:pPr>
              <w:spacing w:after="40" w:line="300"/>
            </w:pPr>
            <w:r>
              <w:rPr>
                <w:rFonts w:ascii="TH Sarabun New" w:cs="TH Sarabun New" w:eastAsia="TH Sarabun New" w:hAnsi="TH Sarabun New"/>
                <w:b w:val="false"/>
                <w:bCs w:val="false"/>
                <w:sz w:val="30"/>
                <w:szCs w:val="30"/>
              </w:rPr>
              <w:t xml:space="preserve">Explain</w:t>
            </w:r>
          </w:p>
        </w:tc>
        <w:tc>
          <w:tcPr>
            <w:tcW w:type="pct" w:w="20%"/>
          </w:tcPr>
          <w:p>
            <w:pPr>
              <w:spacing w:after="40" w:line="300"/>
            </w:pPr>
            <w:r>
              <w:rPr>
                <w:rFonts w:ascii="TH Sarabun New" w:cs="TH Sarabun New" w:eastAsia="TH Sarabun New" w:hAnsi="TH Sarabun New"/>
                <w:b w:val="false"/>
                <w:bCs w:val="false"/>
                <w:sz w:val="30"/>
                <w:szCs w:val="30"/>
              </w:rPr>
              <w:t xml:space="preserve">Elaborate · Evaluate</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7E (Eisenkraft)</w:t>
            </w:r>
          </w:p>
        </w:tc>
        <w:tc>
          <w:tcPr>
            <w:tcW w:type="pct" w:w="18%"/>
          </w:tcPr>
          <w:p>
            <w:pPr>
              <w:spacing w:after="40" w:line="300"/>
            </w:pPr>
            <w:r>
              <w:rPr>
                <w:rFonts w:ascii="TH Sarabun New" w:cs="TH Sarabun New" w:eastAsia="TH Sarabun New" w:hAnsi="TH Sarabun New"/>
                <w:b w:val="false"/>
                <w:bCs w:val="false"/>
                <w:sz w:val="30"/>
                <w:szCs w:val="30"/>
              </w:rPr>
              <w:t xml:space="preserve">Elicit</w:t>
            </w:r>
          </w:p>
        </w:tc>
        <w:tc>
          <w:tcPr>
            <w:tcW w:type="pct" w:w="22%"/>
          </w:tcPr>
          <w:p>
            <w:pPr>
              <w:spacing w:after="40" w:line="300"/>
            </w:pPr>
            <w:r>
              <w:rPr>
                <w:rFonts w:ascii="TH Sarabun New" w:cs="TH Sarabun New" w:eastAsia="TH Sarabun New" w:hAnsi="TH Sarabun New"/>
                <w:b w:val="false"/>
                <w:bCs w:val="false"/>
                <w:sz w:val="30"/>
                <w:szCs w:val="30"/>
              </w:rPr>
              <w:t xml:space="preserve">Engage · Explore</w:t>
            </w:r>
          </w:p>
        </w:tc>
        <w:tc>
          <w:tcPr>
            <w:tcW w:type="pct" w:w="18%"/>
          </w:tcPr>
          <w:p>
            <w:pPr>
              <w:spacing w:after="40" w:line="300"/>
            </w:pPr>
            <w:r>
              <w:rPr>
                <w:rFonts w:ascii="TH Sarabun New" w:cs="TH Sarabun New" w:eastAsia="TH Sarabun New" w:hAnsi="TH Sarabun New"/>
                <w:b w:val="false"/>
                <w:bCs w:val="false"/>
                <w:sz w:val="30"/>
                <w:szCs w:val="30"/>
              </w:rPr>
              <w:t xml:space="preserve">Explain · Elaborate</w:t>
            </w:r>
          </w:p>
        </w:tc>
        <w:tc>
          <w:tcPr>
            <w:tcW w:type="pct" w:w="20%"/>
          </w:tcPr>
          <w:p>
            <w:pPr>
              <w:spacing w:after="40" w:line="300"/>
            </w:pPr>
            <w:r>
              <w:rPr>
                <w:rFonts w:ascii="TH Sarabun New" w:cs="TH Sarabun New" w:eastAsia="TH Sarabun New" w:hAnsi="TH Sarabun New"/>
                <w:b w:val="false"/>
                <w:bCs w:val="false"/>
                <w:sz w:val="30"/>
                <w:szCs w:val="30"/>
              </w:rPr>
              <w:t xml:space="preserve">Evaluate · Extend</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PCaRD (Foster-Shah)</w:t>
            </w:r>
          </w:p>
        </w:tc>
        <w:tc>
          <w:tcPr>
            <w:tcW w:type="pct" w:w="18%"/>
          </w:tcPr>
          <w:p>
            <w:pPr>
              <w:spacing w:after="40" w:line="300"/>
            </w:pPr>
            <w:r>
              <w:rPr>
                <w:rFonts w:ascii="TH Sarabun New" w:cs="TH Sarabun New" w:eastAsia="TH Sarabun New" w:hAnsi="TH Sarabun New"/>
                <w:b w:val="false"/>
                <w:bCs w:val="false"/>
                <w:sz w:val="30"/>
                <w:szCs w:val="30"/>
              </w:rPr>
              <w:t xml:space="preserve">Play</w:t>
            </w:r>
          </w:p>
        </w:tc>
        <w:tc>
          <w:tcPr>
            <w:tcW w:type="pct" w:w="22%"/>
          </w:tcPr>
          <w:p>
            <w:pPr>
              <w:spacing w:after="40" w:line="300"/>
            </w:pPr>
            <w:r>
              <w:rPr>
                <w:rFonts w:ascii="TH Sarabun New" w:cs="TH Sarabun New" w:eastAsia="TH Sarabun New" w:hAnsi="TH Sarabun New"/>
                <w:b w:val="false"/>
                <w:bCs w:val="false"/>
                <w:sz w:val="30"/>
                <w:szCs w:val="30"/>
              </w:rPr>
              <w:t xml:space="preserve">Curricular activity</w:t>
            </w:r>
          </w:p>
        </w:tc>
        <w:tc>
          <w:tcPr>
            <w:tcW w:type="pct" w:w="18%"/>
          </w:tcPr>
          <w:p>
            <w:pPr>
              <w:spacing w:after="40" w:line="300"/>
            </w:pPr>
            <w:r>
              <w:rPr>
                <w:rFonts w:ascii="TH Sarabun New" w:cs="TH Sarabun New" w:eastAsia="TH Sarabun New" w:hAnsi="TH Sarabun New"/>
                <w:b w:val="false"/>
                <w:bCs w:val="false"/>
                <w:sz w:val="30"/>
                <w:szCs w:val="30"/>
              </w:rPr>
              <w:t xml:space="preserve">Reflection</w:t>
            </w:r>
          </w:p>
        </w:tc>
        <w:tc>
          <w:tcPr>
            <w:tcW w:type="pct" w:w="20%"/>
          </w:tcPr>
          <w:p>
            <w:pPr>
              <w:spacing w:after="40" w:line="300"/>
            </w:pPr>
            <w:r>
              <w:rPr>
                <w:rFonts w:ascii="TH Sarabun New" w:cs="TH Sarabun New" w:eastAsia="TH Sarabun New" w:hAnsi="TH Sarabun New"/>
                <w:b w:val="false"/>
                <w:bCs w:val="false"/>
                <w:sz w:val="30"/>
                <w:szCs w:val="30"/>
              </w:rPr>
              <w:t xml:space="preserve">Discussion</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4-องก์ (ผู้วิจัย)</w:t>
            </w:r>
          </w:p>
        </w:tc>
        <w:tc>
          <w:tcPr>
            <w:tcW w:type="pct" w:w="18%"/>
          </w:tcPr>
          <w:p>
            <w:pPr>
              <w:spacing w:after="40" w:line="300"/>
            </w:pPr>
            <w:r>
              <w:rPr>
                <w:rFonts w:ascii="TH Sarabun New" w:cs="TH Sarabun New" w:eastAsia="TH Sarabun New" w:hAnsi="TH Sarabun New"/>
                <w:b w:val="false"/>
                <w:bCs w:val="false"/>
                <w:sz w:val="30"/>
                <w:szCs w:val="30"/>
              </w:rPr>
              <w:t xml:space="preserve">Mission Brief</w:t>
            </w:r>
          </w:p>
        </w:tc>
        <w:tc>
          <w:tcPr>
            <w:tcW w:type="pct" w:w="22%"/>
          </w:tcPr>
          <w:p>
            <w:pPr>
              <w:spacing w:after="40" w:line="300"/>
            </w:pPr>
            <w:r>
              <w:rPr>
                <w:rFonts w:ascii="TH Sarabun New" w:cs="TH Sarabun New" w:eastAsia="TH Sarabun New" w:hAnsi="TH Sarabun New"/>
                <w:b w:val="false"/>
                <w:bCs w:val="false"/>
                <w:sz w:val="30"/>
                <w:szCs w:val="30"/>
              </w:rPr>
              <w:t xml:space="preserve">Lab Build</w:t>
            </w:r>
          </w:p>
        </w:tc>
        <w:tc>
          <w:tcPr>
            <w:tcW w:type="pct" w:w="18%"/>
          </w:tcPr>
          <w:p>
            <w:pPr>
              <w:spacing w:after="40" w:line="300"/>
            </w:pPr>
            <w:r>
              <w:rPr>
                <w:rFonts w:ascii="TH Sarabun New" w:cs="TH Sarabun New" w:eastAsia="TH Sarabun New" w:hAnsi="TH Sarabun New"/>
                <w:b w:val="false"/>
                <w:bCs w:val="false"/>
                <w:sz w:val="30"/>
                <w:szCs w:val="30"/>
              </w:rPr>
              <w:t xml:space="preserve">Boss Fight</w:t>
            </w:r>
          </w:p>
        </w:tc>
        <w:tc>
          <w:tcPr>
            <w:tcW w:type="pct" w:w="20%"/>
          </w:tcPr>
          <w:p>
            <w:pPr>
              <w:spacing w:after="40" w:line="300"/>
            </w:pPr>
            <w:r>
              <w:rPr>
                <w:rFonts w:ascii="TH Sarabun New" w:cs="TH Sarabun New" w:eastAsia="TH Sarabun New" w:hAnsi="TH Sarabun New"/>
                <w:b w:val="false"/>
                <w:bCs w:val="false"/>
                <w:sz w:val="30"/>
                <w:szCs w:val="30"/>
              </w:rPr>
              <w:t xml:space="preserve">Reflection</w:t>
            </w:r>
          </w:p>
        </w:tc>
      </w:tr>
    </w:tbl>
    <w:p>
      <w:pPr>
        <w:spacing w:after="80" w:before="0" w:line="360"/>
        <w:ind w:firstLine="720"/>
        <w:jc w:val="both"/>
      </w:pPr>
      <w:r>
        <w:rPr>
          <w:rFonts w:ascii="TH Sarabun New" w:cs="TH Sarabun New" w:eastAsia="TH Sarabun New" w:hAnsi="TH Sarabun New"/>
          <w:sz w:val="32"/>
          <w:szCs w:val="32"/>
        </w:rPr>
        <w:t xml:space="preserve">รูปแบบ 4-องก์ของผู้วิจัยมีความใกล้เคียงกับ PCaRD ของ Foster และ Shah (2015) มากที่สุด แต่มีความแตกต่างใน 3 ประการ ได้แก่ (1) PCaRD ใช้เกมเชิงพาณิชย์ที่มีอยู่แล้ว ส่วน 4-องก์ ออกแบบเกมเฉพาะสำหรับเนื้อหา (2) PCaRD แยก Reflection กับ Discussion ส่วน 4-องก์ รวมเข้าด้วยกันใน Journal 3-2-1 และ (3) 4-องก์ เพิ่ม Boss Fight เป็นขั้นเฉพาะของการประยุกต์ใช้ในสถานการณ์ท้าทายสูง สอดคล้องกับ Csikszentmihalyi flow channel ทำให้ผู้เรียนได้ "ไต่ระดับ" ความท้าทายในระดับที่สูงกว่ารูปแบบทั่วไป จุดที่ 3 นี้เป็น signature ของรูปแบบ 4-องก์ ที่ทำให้แตกต่างจากทั้ง 5E, 7E และ PCaRD</w:t>
      </w:r>
    </w:p>
    <w:p>
      <w:pPr>
        <w:spacing w:after="160" w:before="360"/>
      </w:pPr>
      <w:r>
        <w:rPr>
          <w:rFonts w:ascii="TH Sarabun New" w:cs="TH Sarabun New" w:eastAsia="TH Sarabun New" w:hAnsi="TH Sarabun New"/>
          <w:b/>
          <w:bCs/>
          <w:sz w:val="40"/>
          <w:szCs w:val="40"/>
        </w:rPr>
        <w:t xml:space="preserve">2.10  ความพึงพอใจของผู้เรียน</w:t>
      </w:r>
    </w:p>
    <w:p>
      <w:pPr>
        <w:spacing w:after="80" w:before="0" w:line="360"/>
        <w:ind w:firstLine="720"/>
        <w:jc w:val="both"/>
      </w:pPr>
      <w:r>
        <w:rPr>
          <w:rFonts w:ascii="TH Sarabun New" w:cs="TH Sarabun New" w:eastAsia="TH Sarabun New" w:hAnsi="TH Sarabun New"/>
          <w:sz w:val="32"/>
          <w:szCs w:val="32"/>
        </w:rPr>
        <w:t xml:space="preserve">นอกเหนือจากการวัดผลสัมฤทธิ์ทางการเรียนและแรงจูงใจภายในแล้ว งานวิจัยที่ดียังต้องวัด "ความพึงพอใจ" ของผู้เรียนต่อนวัตกรรม เพราะเป็นตัวชี้วัดที่สะท้อนการยอมรับและความเป็นไปได้ในการนำไปใช้จริงในห้องเรียนหลังการวิจัย</w:t>
      </w:r>
    </w:p>
    <w:p>
      <w:pPr>
        <w:spacing w:after="120" w:before="280"/>
      </w:pPr>
      <w:r>
        <w:rPr>
          <w:rFonts w:ascii="TH Sarabun New" w:cs="TH Sarabun New" w:eastAsia="TH Sarabun New" w:hAnsi="TH Sarabun New"/>
          <w:b/>
          <w:bCs/>
          <w:sz w:val="36"/>
          <w:szCs w:val="36"/>
        </w:rPr>
        <w:t xml:space="preserve">2.10.1 ความหมายของความพึงพอใจ</w:t>
      </w:r>
    </w:p>
    <w:p>
      <w:pPr>
        <w:spacing w:after="80" w:before="0" w:line="360"/>
        <w:ind w:firstLine="720"/>
        <w:jc w:val="both"/>
      </w:pPr>
      <w:r>
        <w:rPr>
          <w:rFonts w:ascii="TH Sarabun New" w:cs="TH Sarabun New" w:eastAsia="TH Sarabun New" w:hAnsi="TH Sarabun New"/>
          <w:sz w:val="32"/>
          <w:szCs w:val="32"/>
        </w:rPr>
        <w:t xml:space="preserve">Locke (1976) ในวงการ industrial-organizational psychology นิยามความพึงพอใจว่าเป็น "สภาวะทางอารมณ์เชิงบวกที่เกิดจากการประเมินประสบการณ์ของบุคคลต่อสิ่งใดสิ่งหนึ่ง" ต่อมา Weiss (2002) ขยายความว่า ความพึงพอใจประกอบด้วย 2 องค์ประกอบสำคัญ ได้แก่ (1) cognitive evaluation — การประเมินเชิงปัญญา ที่ผู้ตอบเปรียบเทียบประสบการณ์กับความคาดหวัง และ (2) affective response — การตอบสนองทางอารมณ์ ที่เป็นความรู้สึกที่เกิดขึ้นจริง ในบริบทการศึกษา ความพึงพอใจของผู้เรียนหมายถึง "ความรู้สึกพึงใจที่เกิดจากการประเมินประสบการณ์การเรียนรู้ของตนเอง" ซึ่งครอบคลุมทั้งเนื้อหา กิจกรรม สื่อ และการประเมินผล</w:t>
      </w:r>
    </w:p>
    <w:p>
      <w:pPr>
        <w:spacing w:after="120" w:before="280"/>
      </w:pPr>
      <w:r>
        <w:rPr>
          <w:rFonts w:ascii="TH Sarabun New" w:cs="TH Sarabun New" w:eastAsia="TH Sarabun New" w:hAnsi="TH Sarabun New"/>
          <w:b/>
          <w:bCs/>
          <w:sz w:val="36"/>
          <w:szCs w:val="36"/>
        </w:rPr>
        <w:t xml:space="preserve">2.10.2 ทฤษฎีที่เกี่ยวข้องกับความพึงพอใจ</w:t>
      </w:r>
    </w:p>
    <w:p>
      <w:pPr>
        <w:spacing w:after="100" w:before="200"/>
      </w:pPr>
      <w:r>
        <w:rPr>
          <w:rFonts w:ascii="TH Sarabun New" w:cs="TH Sarabun New" w:eastAsia="TH Sarabun New" w:hAnsi="TH Sarabun New"/>
          <w:b/>
          <w:bCs/>
          <w:sz w:val="34"/>
          <w:szCs w:val="34"/>
        </w:rPr>
        <w:t xml:space="preserve">(1) Maslow's Hierarchy of Needs (1943)</w:t>
      </w:r>
    </w:p>
    <w:p>
      <w:pPr>
        <w:spacing w:after="80" w:before="0" w:line="360"/>
        <w:ind w:firstLine="720"/>
        <w:jc w:val="both"/>
      </w:pPr>
      <w:r>
        <w:rPr>
          <w:rFonts w:ascii="TH Sarabun New" w:cs="TH Sarabun New" w:eastAsia="TH Sarabun New" w:hAnsi="TH Sarabun New"/>
          <w:sz w:val="32"/>
          <w:szCs w:val="32"/>
        </w:rPr>
        <w:t xml:space="preserve">Abraham Maslow เสนอลำดับขั้นความต้องการของมนุษย์ 5 ระดับ ได้แก่ physiological · safety · belonging · esteem · self-actualization ซึ่งเป็นพื้นฐานของความพึงพอใจ — มนุษย์จะรู้สึกพึงพอใจเมื่อความต้องการระดับต่ำได้รับการตอบสนองและได้พัฒนาไปสู่ความต้องการระดับที่สูงกว่า ในห้องเรียน ผู้เรียนจะพึงพอใจเมื่อรู้สึกปลอดภัย (safety) เป็นที่ยอมรับ (belonging) ได้รับการเห็นคุณค่า (esteem) และได้พัฒนาตัวเอง (self-actualization)</w:t>
      </w:r>
    </w:p>
    <w:p>
      <w:pPr>
        <w:spacing w:after="100" w:before="200"/>
      </w:pPr>
      <w:r>
        <w:rPr>
          <w:rFonts w:ascii="TH Sarabun New" w:cs="TH Sarabun New" w:eastAsia="TH Sarabun New" w:hAnsi="TH Sarabun New"/>
          <w:b/>
          <w:bCs/>
          <w:sz w:val="34"/>
          <w:szCs w:val="34"/>
        </w:rPr>
        <w:t xml:space="preserve">(2) Herzberg's Two-Factor Theory (1959)</w:t>
      </w:r>
    </w:p>
    <w:p>
      <w:pPr>
        <w:spacing w:after="80" w:before="0" w:line="360"/>
        <w:ind w:firstLine="720"/>
        <w:jc w:val="both"/>
      </w:pPr>
      <w:r>
        <w:rPr>
          <w:rFonts w:ascii="TH Sarabun New" w:cs="TH Sarabun New" w:eastAsia="TH Sarabun New" w:hAnsi="TH Sarabun New"/>
          <w:sz w:val="32"/>
          <w:szCs w:val="32"/>
        </w:rPr>
        <w:t xml:space="preserve">Frederick Herzberg ในการศึกษาความพึงพอใจในการทำงานของวิศวกรและบัญชี ได้แยกปัจจัยที่ส่งผลต่อความพึงพอใจออกเป็น 2 กลุ่ม ที่ทำงานต่างกัน ได้แก่ (1) Hygiene factors — ปัจจัยที่หากขาดจะเกิดความไม่พอใจ แต่หากมีจะเป็นเพียงสภาวะปกติ เช่น สภาพแวดล้อม สื่อ ระบบ และ (2) Motivator factors — ปัจจัยที่ส่งผลต่อความพึงพอใจโดยตรง เช่น ความสำเร็จ การยอมรับ ความก้าวหน้า ในบริบทการเรียน hygiene คือ สื่อและระบบที่ใช้งานได้ราบรื่น ส่วน motivator คือการได้รับ feedback การเรียนรู้สิ่งใหม่ และความรู้สึกของการพัฒนาตนเอง — ทั้งสองปัจจัยต้องทำงานพร้อมกันเพื่อให้เกิดความพึงพอใจ</w:t>
      </w:r>
    </w:p>
    <w:p>
      <w:pPr>
        <w:spacing w:after="100" w:before="200"/>
      </w:pPr>
      <w:r>
        <w:rPr>
          <w:rFonts w:ascii="TH Sarabun New" w:cs="TH Sarabun New" w:eastAsia="TH Sarabun New" w:hAnsi="TH Sarabun New"/>
          <w:b/>
          <w:bCs/>
          <w:sz w:val="34"/>
          <w:szCs w:val="34"/>
        </w:rPr>
        <w:t xml:space="preserve">(3) Vroom's Expectancy Theory (1964)</w:t>
      </w:r>
    </w:p>
    <w:p>
      <w:pPr>
        <w:spacing w:after="80" w:before="0" w:line="360"/>
        <w:ind w:firstLine="720"/>
        <w:jc w:val="both"/>
      </w:pPr>
      <w:r>
        <w:rPr>
          <w:rFonts w:ascii="TH Sarabun New" w:cs="TH Sarabun New" w:eastAsia="TH Sarabun New" w:hAnsi="TH Sarabun New"/>
          <w:sz w:val="32"/>
          <w:szCs w:val="32"/>
        </w:rPr>
        <w:t xml:space="preserve">Victor Vroom เสนอว่า ความพึงพอใจเกิดจากผลคูณของ 3 ปัจจัย ได้แก่ Expectancy (ความคาดหวังว่าทำได้) × Instrumentality (ความเชื่อว่าผลที่ได้จะนำไปสู่รางวัล) × Valence (คุณค่าของรางวัลในสายตาของบุคคล) ที่สำคัญคือการที่ Vroom ใช้ "ผลคูณ" ไม่ใช่ "ผลบวก" — หมายความว่าหากปัจจัยใดเป็นศูนย์ ความพึงพอใจรวมก็จะเป็นศูนย์ การออกแบบ COSMOS LOG จึงต้องตอบสนองทั้ง 3 ปัจจัยพร้อมกัน คือผู้เรียนต้องเชื่อว่าตนเองทำได้ (Expectancy) เชื่อว่าการเล่นจะนำไปสู่ความรู้และคะแนน (Instrumentality) และเห็นคุณค่าของความรู้และคะแนนนั้น (Valence)</w:t>
      </w:r>
    </w:p>
    <w:p>
      <w:pPr>
        <w:spacing w:after="120" w:before="280"/>
      </w:pPr>
      <w:r>
        <w:rPr>
          <w:rFonts w:ascii="TH Sarabun New" w:cs="TH Sarabun New" w:eastAsia="TH Sarabun New" w:hAnsi="TH Sarabun New"/>
          <w:b/>
          <w:bCs/>
          <w:sz w:val="36"/>
          <w:szCs w:val="36"/>
        </w:rPr>
        <w:t xml:space="preserve">2.10.3 ความพึงพอใจในบริบท COSMOS LOG</w:t>
      </w:r>
    </w:p>
    <w:p>
      <w:pPr>
        <w:spacing w:after="80" w:before="0" w:line="360"/>
        <w:ind w:firstLine="720"/>
        <w:jc w:val="both"/>
      </w:pPr>
      <w:r>
        <w:rPr>
          <w:rFonts w:ascii="TH Sarabun New" w:cs="TH Sarabun New" w:eastAsia="TH Sarabun New" w:hAnsi="TH Sarabun New"/>
          <w:sz w:val="32"/>
          <w:szCs w:val="32"/>
        </w:rPr>
        <w:t xml:space="preserve">ผู้วิจัยได้นิยามความพึงพอใจของผู้เรียนต่อ COSMOS LOG เป็น 4 ด้าน ตามองค์ประกอบของชุดบทเรียน โดยแต่ละด้านได้รับการเชื่อมโยงกับทฤษฎีที่เกี่ยวข้อง ดังตารางที่ 2.11</w:t>
      </w:r>
    </w:p>
    <w:p>
      <w:pPr>
        <w:spacing w:after="100" w:before="200"/>
      </w:pPr>
      <w:r>
        <w:rPr>
          <w:rFonts w:ascii="TH Sarabun New" w:cs="TH Sarabun New" w:eastAsia="TH Sarabun New" w:hAnsi="TH Sarabun New"/>
          <w:b/>
          <w:bCs/>
          <w:sz w:val="32"/>
          <w:szCs w:val="32"/>
        </w:rPr>
        <w:t xml:space="preserve">ตารางที่ 2.11  ความพึงพอใจ 4 ด้าน และตัวอย่างข้อคำถาม</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tblGrid>
      <w:tr>
        <w:trPr>
          <w:tblHeader/>
        </w:trPr>
        <w:tc>
          <w:tcPr>
            <w:tcW w:type="pct" w:w="22%"/>
            <w:shd w:fill="D9E2F3" w:color="auto" w:val="clear"/>
          </w:tcPr>
          <w:p>
            <w:pPr>
              <w:spacing w:after="40" w:line="300"/>
            </w:pPr>
            <w:r>
              <w:rPr>
                <w:rFonts w:ascii="TH Sarabun New" w:cs="TH Sarabun New" w:eastAsia="TH Sarabun New" w:hAnsi="TH Sarabun New"/>
                <w:b/>
                <w:bCs/>
                <w:sz w:val="30"/>
                <w:szCs w:val="30"/>
              </w:rPr>
              <w:t xml:space="preserve">ด้าน</w:t>
            </w:r>
          </w:p>
        </w:tc>
        <w:tc>
          <w:tcPr>
            <w:tcW w:type="pct" w:w="26%"/>
            <w:shd w:fill="D9E2F3" w:color="auto" w:val="clear"/>
          </w:tcPr>
          <w:p>
            <w:pPr>
              <w:spacing w:after="40" w:line="300"/>
            </w:pPr>
            <w:r>
              <w:rPr>
                <w:rFonts w:ascii="TH Sarabun New" w:cs="TH Sarabun New" w:eastAsia="TH Sarabun New" w:hAnsi="TH Sarabun New"/>
                <w:b/>
                <w:bCs/>
                <w:sz w:val="30"/>
                <w:szCs w:val="30"/>
              </w:rPr>
              <w:t xml:space="preserve">ทฤษฎีที่เชื่อมโยง</w:t>
            </w:r>
          </w:p>
        </w:tc>
        <w:tc>
          <w:tcPr>
            <w:tcW w:type="pct" w:w="52%"/>
            <w:shd w:fill="D9E2F3" w:color="auto" w:val="clear"/>
          </w:tcPr>
          <w:p>
            <w:pPr>
              <w:spacing w:after="40" w:line="300"/>
            </w:pPr>
            <w:r>
              <w:rPr>
                <w:rFonts w:ascii="TH Sarabun New" w:cs="TH Sarabun New" w:eastAsia="TH Sarabun New" w:hAnsi="TH Sarabun New"/>
                <w:b/>
                <w:bCs/>
                <w:sz w:val="30"/>
                <w:szCs w:val="30"/>
              </w:rPr>
              <w:t xml:space="preserve">ตัวอย่างข้อคำถาม (5 ข้อ × 4 ด้าน = 20 ข้อ)</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1. เนื้อหา (Content)</w:t>
            </w:r>
          </w:p>
        </w:tc>
        <w:tc>
          <w:tcPr>
            <w:tcW w:type="pct" w:w="26%"/>
          </w:tcPr>
          <w:p>
            <w:pPr>
              <w:spacing w:after="40" w:line="300"/>
            </w:pPr>
            <w:r>
              <w:rPr>
                <w:rFonts w:ascii="TH Sarabun New" w:cs="TH Sarabun New" w:eastAsia="TH Sarabun New" w:hAnsi="TH Sarabun New"/>
                <w:b w:val="false"/>
                <w:bCs w:val="false"/>
                <w:sz w:val="30"/>
                <w:szCs w:val="30"/>
              </w:rPr>
              <w:t xml:space="preserve">Herzberg Motivator</w:t>
            </w:r>
          </w:p>
        </w:tc>
        <w:tc>
          <w:tcPr>
            <w:tcW w:type="pct" w:w="52%"/>
          </w:tcPr>
          <w:p>
            <w:pPr>
              <w:spacing w:after="40" w:line="300"/>
            </w:pPr>
            <w:r>
              <w:rPr>
                <w:rFonts w:ascii="TH Sarabun New" w:cs="TH Sarabun New" w:eastAsia="TH Sarabun New" w:hAnsi="TH Sarabun New"/>
                <w:b w:val="false"/>
                <w:bCs w:val="false"/>
                <w:sz w:val="30"/>
                <w:szCs w:val="30"/>
              </w:rPr>
              <w:t xml:space="preserve">เนื้อหาตรงกับสิ่งที่อยากเรียน · ลึกพอเหมาะ · เชื่อมโยงกับชีวิตจริง</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2. กิจกรรม (Activity)</w:t>
            </w:r>
          </w:p>
        </w:tc>
        <w:tc>
          <w:tcPr>
            <w:tcW w:type="pct" w:w="26%"/>
          </w:tcPr>
          <w:p>
            <w:pPr>
              <w:spacing w:after="40" w:line="300"/>
            </w:pPr>
            <w:r>
              <w:rPr>
                <w:rFonts w:ascii="TH Sarabun New" w:cs="TH Sarabun New" w:eastAsia="TH Sarabun New" w:hAnsi="TH Sarabun New"/>
                <w:b w:val="false"/>
                <w:bCs w:val="false"/>
                <w:sz w:val="30"/>
                <w:szCs w:val="30"/>
              </w:rPr>
              <w:t xml:space="preserve">SDT Competence + Vroom</w:t>
            </w:r>
          </w:p>
        </w:tc>
        <w:tc>
          <w:tcPr>
            <w:tcW w:type="pct" w:w="52%"/>
          </w:tcPr>
          <w:p>
            <w:pPr>
              <w:spacing w:after="40" w:line="300"/>
            </w:pPr>
            <w:r>
              <w:rPr>
                <w:rFonts w:ascii="TH Sarabun New" w:cs="TH Sarabun New" w:eastAsia="TH Sarabun New" w:hAnsi="TH Sarabun New"/>
                <w:b w:val="false"/>
                <w:bCs w:val="false"/>
                <w:sz w:val="30"/>
                <w:szCs w:val="30"/>
              </w:rPr>
              <w:t xml:space="preserve">กิจกรรมท้าทายเหมาะสม · ทำได้ · สนุก</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3. สื่อ (Media)</w:t>
            </w:r>
          </w:p>
        </w:tc>
        <w:tc>
          <w:tcPr>
            <w:tcW w:type="pct" w:w="26%"/>
          </w:tcPr>
          <w:p>
            <w:pPr>
              <w:spacing w:after="40" w:line="300"/>
            </w:pPr>
            <w:r>
              <w:rPr>
                <w:rFonts w:ascii="TH Sarabun New" w:cs="TH Sarabun New" w:eastAsia="TH Sarabun New" w:hAnsi="TH Sarabun New"/>
                <w:b w:val="false"/>
                <w:bCs w:val="false"/>
                <w:sz w:val="30"/>
                <w:szCs w:val="30"/>
              </w:rPr>
              <w:t xml:space="preserve">Herzberg Hygiene</w:t>
            </w:r>
          </w:p>
        </w:tc>
        <w:tc>
          <w:tcPr>
            <w:tcW w:type="pct" w:w="52%"/>
          </w:tcPr>
          <w:p>
            <w:pPr>
              <w:spacing w:after="40" w:line="300"/>
            </w:pPr>
            <w:r>
              <w:rPr>
                <w:rFonts w:ascii="TH Sarabun New" w:cs="TH Sarabun New" w:eastAsia="TH Sarabun New" w:hAnsi="TH Sarabun New"/>
                <w:b w:val="false"/>
                <w:bCs w:val="false"/>
                <w:sz w:val="30"/>
                <w:szCs w:val="30"/>
              </w:rPr>
              <w:t xml:space="preserve">ภาพ-เสียง-แอนิเมชันสวยและชัดเจน · UI ใช้ง่าย · โหลดเร็ว</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4. การประเมินผล (Assessment)</w:t>
            </w:r>
          </w:p>
        </w:tc>
        <w:tc>
          <w:tcPr>
            <w:tcW w:type="pct" w:w="26%"/>
          </w:tcPr>
          <w:p>
            <w:pPr>
              <w:spacing w:after="40" w:line="300"/>
            </w:pPr>
            <w:r>
              <w:rPr>
                <w:rFonts w:ascii="TH Sarabun New" w:cs="TH Sarabun New" w:eastAsia="TH Sarabun New" w:hAnsi="TH Sarabun New"/>
                <w:b w:val="false"/>
                <w:bCs w:val="false"/>
                <w:sz w:val="30"/>
                <w:szCs w:val="30"/>
              </w:rPr>
              <w:t xml:space="preserve">SDT Autonomy + Maslow Esteem</w:t>
            </w:r>
          </w:p>
        </w:tc>
        <w:tc>
          <w:tcPr>
            <w:tcW w:type="pct" w:w="52%"/>
          </w:tcPr>
          <w:p>
            <w:pPr>
              <w:spacing w:after="40" w:line="300"/>
            </w:pPr>
            <w:r>
              <w:rPr>
                <w:rFonts w:ascii="TH Sarabun New" w:cs="TH Sarabun New" w:eastAsia="TH Sarabun New" w:hAnsi="TH Sarabun New"/>
                <w:b w:val="false"/>
                <w:bCs w:val="false"/>
                <w:sz w:val="30"/>
                <w:szCs w:val="30"/>
              </w:rPr>
              <w:t xml:space="preserve">วัดผลยุติธรรม · feedback ช่วยพัฒนา · ไม่เครียดเกินไป</w:t>
            </w:r>
          </w:p>
        </w:tc>
      </w:tr>
    </w:tbl>
    <w:p>
      <w:pPr>
        <w:spacing w:after="120" w:before="280"/>
      </w:pPr>
      <w:r>
        <w:rPr>
          <w:rFonts w:ascii="TH Sarabun New" w:cs="TH Sarabun New" w:eastAsia="TH Sarabun New" w:hAnsi="TH Sarabun New"/>
          <w:b/>
          <w:bCs/>
          <w:sz w:val="36"/>
          <w:szCs w:val="36"/>
        </w:rPr>
        <w:t xml:space="preserve">2.10.4 การวัดความพึงพอใจ</w:t>
      </w:r>
    </w:p>
    <w:p>
      <w:pPr>
        <w:spacing w:after="80" w:before="0" w:line="360"/>
        <w:ind w:firstLine="720"/>
        <w:jc w:val="both"/>
      </w:pPr>
      <w:r>
        <w:rPr>
          <w:rFonts w:ascii="TH Sarabun New" w:cs="TH Sarabun New" w:eastAsia="TH Sarabun New" w:hAnsi="TH Sarabun New"/>
          <w:sz w:val="32"/>
          <w:szCs w:val="32"/>
        </w:rPr>
        <w:t xml:space="preserve">Rensis Likert (1932) จากมหาวิทยาลัย Columbia เสนอ Likert Scale เป็นเครื่องมือวัดเจตคติและความพึงพอใจที่ปฏิวัติวงการการวิจัยทางสังคมศาสตร์ ก่อนหน้านั้น การวัดเจตคติทำได้ยากเพราะใช้ยาวและซับซ้อน Likert เสนอวิธีที่เรียบง่ายและทรงพลัง คือให้ผู้ตอบเลือกระดับความเห็นด้วย 5 ระดับ (มากที่สุด → น้อยที่สุด) ปัจจุบันเป็นเครื่องมือที่ได้รับการยอมรับและใช้กันอย่างแพร่หลายที่สุดในงานวิจัยทางการศึกษาทั่วโลก งานวิจัยนี้ใช้ Likert 5-point Scale ในการวัดความพึงพอใจ 4 ด้าน รวม 20 ข้อ และใช้เกณฑ์การแปลผล 5 ระดับ ดังตารางที่ 2.12</w:t>
      </w:r>
    </w:p>
    <w:p>
      <w:pPr>
        <w:spacing w:after="100" w:before="200"/>
      </w:pPr>
      <w:r>
        <w:rPr>
          <w:rFonts w:ascii="TH Sarabun New" w:cs="TH Sarabun New" w:eastAsia="TH Sarabun New" w:hAnsi="TH Sarabun New"/>
          <w:b/>
          <w:bCs/>
          <w:sz w:val="32"/>
          <w:szCs w:val="32"/>
        </w:rPr>
        <w:t xml:space="preserve">ตารางที่ 2.12  เกณฑ์การแปลผลค่าเฉลี่ยความพึงพอใจ</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tblGrid>
      <w:tr>
        <w:trPr>
          <w:tblHeader/>
        </w:trPr>
        <w:tc>
          <w:tcPr>
            <w:tcW w:type="pct" w:w="22%"/>
            <w:shd w:fill="D9E2F3" w:color="auto" w:val="clear"/>
          </w:tcPr>
          <w:p>
            <w:pPr>
              <w:spacing w:after="40" w:line="300"/>
            </w:pPr>
            <w:r>
              <w:rPr>
                <w:rFonts w:ascii="TH Sarabun New" w:cs="TH Sarabun New" w:eastAsia="TH Sarabun New" w:hAnsi="TH Sarabun New"/>
                <w:b/>
                <w:bCs/>
                <w:sz w:val="30"/>
                <w:szCs w:val="30"/>
              </w:rPr>
              <w:t xml:space="preserve">ค่าเฉลี่ย</w:t>
            </w:r>
          </w:p>
        </w:tc>
        <w:tc>
          <w:tcPr>
            <w:tcW w:type="pct" w:w="22%"/>
            <w:shd w:fill="D9E2F3" w:color="auto" w:val="clear"/>
          </w:tcPr>
          <w:p>
            <w:pPr>
              <w:spacing w:after="40" w:line="300"/>
            </w:pPr>
            <w:r>
              <w:rPr>
                <w:rFonts w:ascii="TH Sarabun New" w:cs="TH Sarabun New" w:eastAsia="TH Sarabun New" w:hAnsi="TH Sarabun New"/>
                <w:b/>
                <w:bCs/>
                <w:sz w:val="30"/>
                <w:szCs w:val="30"/>
              </w:rPr>
              <w:t xml:space="preserve">ระดับ</w:t>
            </w:r>
          </w:p>
        </w:tc>
        <w:tc>
          <w:tcPr>
            <w:tcW w:type="pct" w:w="56%"/>
            <w:shd w:fill="D9E2F3" w:color="auto" w:val="clear"/>
          </w:tcPr>
          <w:p>
            <w:pPr>
              <w:spacing w:after="40" w:line="300"/>
            </w:pPr>
            <w:r>
              <w:rPr>
                <w:rFonts w:ascii="TH Sarabun New" w:cs="TH Sarabun New" w:eastAsia="TH Sarabun New" w:hAnsi="TH Sarabun New"/>
                <w:b/>
                <w:bCs/>
                <w:sz w:val="30"/>
                <w:szCs w:val="30"/>
              </w:rPr>
              <w:t xml:space="preserve">การแปลผล</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4.51 – 5.00</w:t>
            </w:r>
          </w:p>
        </w:tc>
        <w:tc>
          <w:tcPr>
            <w:tcW w:type="pct" w:w="22%"/>
          </w:tcPr>
          <w:p>
            <w:pPr>
              <w:spacing w:after="40" w:line="300"/>
            </w:pPr>
            <w:r>
              <w:rPr>
                <w:rFonts w:ascii="TH Sarabun New" w:cs="TH Sarabun New" w:eastAsia="TH Sarabun New" w:hAnsi="TH Sarabun New"/>
                <w:b w:val="false"/>
                <w:bCs w:val="false"/>
                <w:sz w:val="30"/>
                <w:szCs w:val="30"/>
              </w:rPr>
              <w:t xml:space="preserve">มากที่สุด</w:t>
            </w:r>
          </w:p>
        </w:tc>
        <w:tc>
          <w:tcPr>
            <w:tcW w:type="pct" w:w="56%"/>
          </w:tcPr>
          <w:p>
            <w:pPr>
              <w:spacing w:after="40" w:line="300"/>
            </w:pPr>
            <w:r>
              <w:rPr>
                <w:rFonts w:ascii="TH Sarabun New" w:cs="TH Sarabun New" w:eastAsia="TH Sarabun New" w:hAnsi="TH Sarabun New"/>
                <w:b w:val="false"/>
                <w:bCs w:val="false"/>
                <w:sz w:val="30"/>
                <w:szCs w:val="30"/>
              </w:rPr>
              <w:t xml:space="preserve">ผู้เรียนพึงพอใจในระดับสูงสุด</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3.51 – 4.50</w:t>
            </w:r>
          </w:p>
        </w:tc>
        <w:tc>
          <w:tcPr>
            <w:tcW w:type="pct" w:w="22%"/>
          </w:tcPr>
          <w:p>
            <w:pPr>
              <w:spacing w:after="40" w:line="300"/>
            </w:pPr>
            <w:r>
              <w:rPr>
                <w:rFonts w:ascii="TH Sarabun New" w:cs="TH Sarabun New" w:eastAsia="TH Sarabun New" w:hAnsi="TH Sarabun New"/>
                <w:b w:val="false"/>
                <w:bCs w:val="false"/>
                <w:sz w:val="30"/>
                <w:szCs w:val="30"/>
              </w:rPr>
              <w:t xml:space="preserve">มาก</w:t>
            </w:r>
          </w:p>
        </w:tc>
        <w:tc>
          <w:tcPr>
            <w:tcW w:type="pct" w:w="56%"/>
          </w:tcPr>
          <w:p>
            <w:pPr>
              <w:spacing w:after="40" w:line="300"/>
            </w:pPr>
            <w:r>
              <w:rPr>
                <w:rFonts w:ascii="TH Sarabun New" w:cs="TH Sarabun New" w:eastAsia="TH Sarabun New" w:hAnsi="TH Sarabun New"/>
                <w:b w:val="false"/>
                <w:bCs w:val="false"/>
                <w:sz w:val="30"/>
                <w:szCs w:val="30"/>
              </w:rPr>
              <w:t xml:space="preserve">ผู้เรียนพึงพอใจในระดับสูง (เกณฑ์ผ่าน)</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2.51 – 3.50</w:t>
            </w:r>
          </w:p>
        </w:tc>
        <w:tc>
          <w:tcPr>
            <w:tcW w:type="pct" w:w="22%"/>
          </w:tcPr>
          <w:p>
            <w:pPr>
              <w:spacing w:after="40" w:line="300"/>
            </w:pPr>
            <w:r>
              <w:rPr>
                <w:rFonts w:ascii="TH Sarabun New" w:cs="TH Sarabun New" w:eastAsia="TH Sarabun New" w:hAnsi="TH Sarabun New"/>
                <w:b w:val="false"/>
                <w:bCs w:val="false"/>
                <w:sz w:val="30"/>
                <w:szCs w:val="30"/>
              </w:rPr>
              <w:t xml:space="preserve">ปานกลาง</w:t>
            </w:r>
          </w:p>
        </w:tc>
        <w:tc>
          <w:tcPr>
            <w:tcW w:type="pct" w:w="56%"/>
          </w:tcPr>
          <w:p>
            <w:pPr>
              <w:spacing w:after="40" w:line="300"/>
            </w:pPr>
            <w:r>
              <w:rPr>
                <w:rFonts w:ascii="TH Sarabun New" w:cs="TH Sarabun New" w:eastAsia="TH Sarabun New" w:hAnsi="TH Sarabun New"/>
                <w:b w:val="false"/>
                <w:bCs w:val="false"/>
                <w:sz w:val="30"/>
                <w:szCs w:val="30"/>
              </w:rPr>
              <w:t xml:space="preserve">ผู้เรียนพึงพอใจปานกลาง</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1.51 – 2.50</w:t>
            </w:r>
          </w:p>
        </w:tc>
        <w:tc>
          <w:tcPr>
            <w:tcW w:type="pct" w:w="22%"/>
          </w:tcPr>
          <w:p>
            <w:pPr>
              <w:spacing w:after="40" w:line="300"/>
            </w:pPr>
            <w:r>
              <w:rPr>
                <w:rFonts w:ascii="TH Sarabun New" w:cs="TH Sarabun New" w:eastAsia="TH Sarabun New" w:hAnsi="TH Sarabun New"/>
                <w:b w:val="false"/>
                <w:bCs w:val="false"/>
                <w:sz w:val="30"/>
                <w:szCs w:val="30"/>
              </w:rPr>
              <w:t xml:space="preserve">น้อย</w:t>
            </w:r>
          </w:p>
        </w:tc>
        <w:tc>
          <w:tcPr>
            <w:tcW w:type="pct" w:w="56%"/>
          </w:tcPr>
          <w:p>
            <w:pPr>
              <w:spacing w:after="40" w:line="300"/>
            </w:pPr>
            <w:r>
              <w:rPr>
                <w:rFonts w:ascii="TH Sarabun New" w:cs="TH Sarabun New" w:eastAsia="TH Sarabun New" w:hAnsi="TH Sarabun New"/>
                <w:b w:val="false"/>
                <w:bCs w:val="false"/>
                <w:sz w:val="30"/>
                <w:szCs w:val="30"/>
              </w:rPr>
              <w:t xml:space="preserve">ผู้เรียนพึงพอใจน้อย</w:t>
            </w:r>
          </w:p>
        </w:tc>
      </w:tr>
      <w:tr>
        <w:trPr>
          <w:tblHeader w:val="false"/>
        </w:trPr>
        <w:tc>
          <w:tcPr>
            <w:tcW w:type="pct" w:w="22%"/>
          </w:tcPr>
          <w:p>
            <w:pPr>
              <w:spacing w:after="40" w:line="300"/>
            </w:pPr>
            <w:r>
              <w:rPr>
                <w:rFonts w:ascii="TH Sarabun New" w:cs="TH Sarabun New" w:eastAsia="TH Sarabun New" w:hAnsi="TH Sarabun New"/>
                <w:b w:val="false"/>
                <w:bCs w:val="false"/>
                <w:sz w:val="30"/>
                <w:szCs w:val="30"/>
              </w:rPr>
              <w:t xml:space="preserve">1.00 – 1.50</w:t>
            </w:r>
          </w:p>
        </w:tc>
        <w:tc>
          <w:tcPr>
            <w:tcW w:type="pct" w:w="22%"/>
          </w:tcPr>
          <w:p>
            <w:pPr>
              <w:spacing w:after="40" w:line="300"/>
            </w:pPr>
            <w:r>
              <w:rPr>
                <w:rFonts w:ascii="TH Sarabun New" w:cs="TH Sarabun New" w:eastAsia="TH Sarabun New" w:hAnsi="TH Sarabun New"/>
                <w:b w:val="false"/>
                <w:bCs w:val="false"/>
                <w:sz w:val="30"/>
                <w:szCs w:val="30"/>
              </w:rPr>
              <w:t xml:space="preserve">น้อยที่สุด</w:t>
            </w:r>
          </w:p>
        </w:tc>
        <w:tc>
          <w:tcPr>
            <w:tcW w:type="pct" w:w="56%"/>
          </w:tcPr>
          <w:p>
            <w:pPr>
              <w:spacing w:after="40" w:line="300"/>
            </w:pPr>
            <w:r>
              <w:rPr>
                <w:rFonts w:ascii="TH Sarabun New" w:cs="TH Sarabun New" w:eastAsia="TH Sarabun New" w:hAnsi="TH Sarabun New"/>
                <w:b w:val="false"/>
                <w:bCs w:val="false"/>
                <w:sz w:val="30"/>
                <w:szCs w:val="30"/>
              </w:rPr>
              <w:t xml:space="preserve">ผู้เรียนไม่พึงพอใจ</w:t>
            </w:r>
          </w:p>
        </w:tc>
      </w:tr>
    </w:tbl>
    <w:p>
      <w:pPr>
        <w:spacing w:after="80" w:before="0" w:line="360"/>
        <w:ind w:firstLine="720"/>
        <w:jc w:val="both"/>
      </w:pPr>
      <w:r>
        <w:rPr>
          <w:rFonts w:ascii="TH Sarabun New" w:cs="TH Sarabun New" w:eastAsia="TH Sarabun New" w:hAnsi="TH Sarabun New"/>
          <w:sz w:val="32"/>
          <w:szCs w:val="32"/>
        </w:rPr>
        <w:t xml:space="preserve">งานวิจัยนี้ใช้เกณฑ์ค่าเฉลี่ย ≥ 3.51 (ระดับมาก) เป็นเกณฑ์ยอมรับสมมติฐานข้อ 4 — ซึ่งเป็นเกณฑ์ที่นิยมใช้ในวงการวิจัยการศึกษาของไทย</w:t>
      </w:r>
    </w:p>
    <w:p>
      <w:pPr>
        <w:spacing w:after="160" w:before="360"/>
      </w:pPr>
      <w:r>
        <w:rPr>
          <w:rFonts w:ascii="TH Sarabun New" w:cs="TH Sarabun New" w:eastAsia="TH Sarabun New" w:hAnsi="TH Sarabun New"/>
          <w:b/>
          <w:bCs/>
          <w:sz w:val="40"/>
          <w:szCs w:val="40"/>
        </w:rPr>
        <w:t xml:space="preserve">2.11  งานวิจัยที่เกี่ยวข้อง</w:t>
      </w:r>
    </w:p>
    <w:p>
      <w:pPr>
        <w:spacing w:after="80" w:before="0" w:line="360"/>
        <w:ind w:firstLine="720"/>
        <w:jc w:val="both"/>
      </w:pPr>
      <w:r>
        <w:rPr>
          <w:rFonts w:ascii="TH Sarabun New" w:cs="TH Sarabun New" w:eastAsia="TH Sarabun New" w:hAnsi="TH Sarabun New"/>
          <w:sz w:val="32"/>
          <w:szCs w:val="32"/>
        </w:rPr>
        <w:t xml:space="preserve">การทบทวนงานวิจัยที่เกี่ยวข้องไม่ใช่เพียงการ "อวดวรรณกรรม" แต่เป็นกระบวนการสำคัญที่ทำให้ผู้วิจัยสามารถ (1) ยืนยันว่าฐานทฤษฎีที่ใช้มีหลักฐานเชิงประจักษ์รองรับ (2) เห็นข้อค้นพบที่สอดคล้องและขัดแย้งของงานวิจัยที่ผ่านมา และ (3) ระบุ "ช่องว่างทางวิชาการ" (research gap) ที่งานวิจัยปัจจุบันต้องการเติมเต็ม ในส่วนนี้ผู้วิจัยจะแบ่งงานวิจัยออกเป็นต่างประเทศและในประเทศไทย ก่อนสรุปด้วยตารางและการระบุช่องว่าง</w:t>
      </w:r>
    </w:p>
    <w:p>
      <w:pPr>
        <w:spacing w:after="120" w:before="280"/>
      </w:pPr>
      <w:r>
        <w:rPr>
          <w:rFonts w:ascii="TH Sarabun New" w:cs="TH Sarabun New" w:eastAsia="TH Sarabun New" w:hAnsi="TH Sarabun New"/>
          <w:b/>
          <w:bCs/>
          <w:sz w:val="36"/>
          <w:szCs w:val="36"/>
        </w:rPr>
        <w:t xml:space="preserve">2.11.1 งานวิจัยในต่างประเทศ</w:t>
      </w:r>
    </w:p>
    <w:p>
      <w:pPr>
        <w:spacing w:after="100" w:before="200"/>
      </w:pPr>
      <w:r>
        <w:rPr>
          <w:rFonts w:ascii="TH Sarabun New" w:cs="TH Sarabun New" w:eastAsia="TH Sarabun New" w:hAnsi="TH Sarabun New"/>
          <w:b/>
          <w:bCs/>
          <w:sz w:val="34"/>
          <w:szCs w:val="34"/>
        </w:rPr>
        <w:t xml:space="preserve">(1) งานวิจัยด้าน Game-Based Learning ในวิทยาศาสตร์</w:t>
      </w:r>
    </w:p>
    <w:p>
      <w:pPr>
        <w:spacing w:after="80" w:before="0" w:line="360"/>
        <w:ind w:firstLine="720"/>
        <w:jc w:val="both"/>
      </w:pPr>
      <w:r>
        <w:rPr>
          <w:rFonts w:ascii="TH Sarabun New" w:cs="TH Sarabun New" w:eastAsia="TH Sarabun New" w:hAnsi="TH Sarabun New"/>
          <w:sz w:val="32"/>
          <w:szCs w:val="32"/>
        </w:rPr>
        <w:t xml:space="preserve">Yang (2012) ได้พัฒนาเกมดิจิทัลสำหรับการสอนวิทยาศาสตร์โลกในระดับมัธยมศึกษา และพบว่านักเรียนกลุ่มทดลอง (n = 44) มีคะแนนสูงกว่ากลุ่มควบคุม (n = 44) อย่างมีนัยสำคัญทางสถิติ (p &lt; .01) และมีแรงจูงใจในการเรียนสูงกว่าอย่างชัดเจน ขณะที่ Sung และ Hwang (2013) พัฒนา educational computer game แบบ collaborative ในวิชาวิทยาศาสตร์ระดับประถมศึกษาตอนปลาย พบว่าเกมแบบ collaborative มี effect size สูง (d = 1.18) ทั้งต่อความรู้และเจตคติของผู้เรียน — ค่า d = 1.18 นี้ถือว่า "ใหญ่มาก" ในวงการสังคมศาสตร์ที่ปกติ d = 0.8 ก็ถือว่าสูงแล้ว สำหรับการสังเคราะห์ภาพรวม Anastasiadis, Lampropoulos และ Siakas (2018) ได้ทำ meta-analysis 53 เรื่องเกี่ยวกับ educational digital games ในรายวิชาวิทยาศาสตร์ พบว่าเกมที่ออกแบบโดยใช้ narrative และ role-playing มีผลดีกว่า drill-and-practice games อย่างมีนัยสำคัญ — ผลข้อนี้สนับสนุนการตัดสินใจของผู้วิจัยที่เลือกออกแบบ COSMOS LOG เป็น narrative-driven RPG</w:t>
      </w:r>
    </w:p>
    <w:p>
      <w:pPr>
        <w:spacing w:after="100" w:before="200"/>
      </w:pPr>
      <w:r>
        <w:rPr>
          <w:rFonts w:ascii="TH Sarabun New" w:cs="TH Sarabun New" w:eastAsia="TH Sarabun New" w:hAnsi="TH Sarabun New"/>
          <w:b/>
          <w:bCs/>
          <w:sz w:val="34"/>
          <w:szCs w:val="34"/>
        </w:rPr>
        <w:t xml:space="preserve">(2) งานวิจัยด้าน SDT ในเกมการเรียนรู้</w:t>
      </w:r>
    </w:p>
    <w:p>
      <w:pPr>
        <w:spacing w:after="80" w:before="0" w:line="360"/>
        <w:ind w:firstLine="720"/>
        <w:jc w:val="both"/>
      </w:pPr>
      <w:r>
        <w:rPr>
          <w:rFonts w:ascii="TH Sarabun New" w:cs="TH Sarabun New" w:eastAsia="TH Sarabun New" w:hAnsi="TH Sarabun New"/>
          <w:sz w:val="32"/>
          <w:szCs w:val="32"/>
        </w:rPr>
        <w:t xml:space="preserve">Tsai, Tsai และ Lin (2015) บูรณาการ SDT เข้ากับเกมการเรียนรู้ในรายวิชาคณิตศาสตร์ระดับมัธยม พบว่าเกมที่สนับสนุนความต้องการพื้นฐานทั้ง 3 มิติ (A·C·R) สามารถเพิ่มแรงจูงใจภายในของผู้เรียนได้อย่างมีนัยสำคัญทางสถิติ (p &lt; .001) เมื่อเปรียบเทียบกับเกมที่สนับสนุนเพียงด้านเดียว ผลข้อนี้ยืนยันว่าการบูรณาการครบทั้ง 3 มิติ A·C·R สำคัญเพียงใด ต่อมา Howard และคณะ (2024) ได้ทำ meta-analysis ขนาดใหญ่ 144 งานวิจัย พบว่าการตอบสนองความต้องการพื้นฐานทั้ง 3 มิติมีความสัมพันธ์ทางบวกกับ academic achievement (r = 0.27) · engagement (r = 0.45) และ well-being (r = 0.52) อย่างมีนัยสำคัญในนักเรียนทุกระดับ</w:t>
      </w:r>
    </w:p>
    <w:p>
      <w:pPr>
        <w:spacing w:after="100" w:before="200"/>
      </w:pPr>
      <w:r>
        <w:rPr>
          <w:rFonts w:ascii="TH Sarabun New" w:cs="TH Sarabun New" w:eastAsia="TH Sarabun New" w:hAnsi="TH Sarabun New"/>
          <w:b/>
          <w:bCs/>
          <w:sz w:val="34"/>
          <w:szCs w:val="34"/>
        </w:rPr>
        <w:t xml:space="preserve">(3) งานวิจัยด้าน Conceptual Change ในวิชาดาราศาสตร์</w:t>
      </w:r>
    </w:p>
    <w:p>
      <w:pPr>
        <w:spacing w:after="80" w:before="0" w:line="360"/>
        <w:ind w:firstLine="720"/>
        <w:jc w:val="both"/>
      </w:pPr>
      <w:r>
        <w:rPr>
          <w:rFonts w:ascii="TH Sarabun New" w:cs="TH Sarabun New" w:eastAsia="TH Sarabun New" w:hAnsi="TH Sarabun New"/>
          <w:sz w:val="32"/>
          <w:szCs w:val="32"/>
        </w:rPr>
        <w:t xml:space="preserve">Plummer และ Krajcik (2010) ทำ longitudinal study เกี่ยวกับการพัฒนามโนทัศน์เรื่อง celestial motion ในนักเรียน K-12 และพบรูปแบบของการเปลี่ยนมโนทัศน์ที่เป็นลำดับขั้น — เริ่มจาก geocentric model สู่ heliocentric model สู่ความเข้าใจสามมิติของ celestial sphere ขณะที่ Bailey (2011) สำรวจมโนทัศน์ดาราศาสตร์ของนักศึกษามหาวิทยาลัยและพบว่ามโนทัศน์ที่คลาดเคลื่อนยังคงพบในระดับที่สูงแม้หลังเรียนวิชาดาราศาสตร์ ส่วน Trumper (2001a, 2001b) ทำการสำรวจในอิสราเอลพบรูปแบบเดียวกัน ผลการวิจัยทั้งสามฉบับนี้ยืนยันว่า misconception ทางดาราศาสตร์ "ข้ามวัฒนธรรม" — เป็นปรากฏการณ์ทั่วโลก ไม่ใช่เฉพาะของนักเรียนไทย และมีความคงทนสูง</w:t>
      </w:r>
    </w:p>
    <w:p>
      <w:pPr>
        <w:spacing w:after="100" w:before="200"/>
      </w:pPr>
      <w:r>
        <w:rPr>
          <w:rFonts w:ascii="TH Sarabun New" w:cs="TH Sarabun New" w:eastAsia="TH Sarabun New" w:hAnsi="TH Sarabun New"/>
          <w:b/>
          <w:bCs/>
          <w:sz w:val="34"/>
          <w:szCs w:val="34"/>
        </w:rPr>
        <w:t xml:space="preserve">(4) งานวิจัยด้าน 4-Act/PCaRD Model</w:t>
      </w:r>
    </w:p>
    <w:p>
      <w:pPr>
        <w:spacing w:after="80" w:before="0" w:line="360"/>
        <w:ind w:firstLine="720"/>
        <w:jc w:val="both"/>
      </w:pPr>
      <w:r>
        <w:rPr>
          <w:rFonts w:ascii="TH Sarabun New" w:cs="TH Sarabun New" w:eastAsia="TH Sarabun New" w:hAnsi="TH Sarabun New"/>
          <w:sz w:val="32"/>
          <w:szCs w:val="32"/>
        </w:rPr>
        <w:t xml:space="preserve">Foster และ Shah (2015) เสนอ PCaRD model (Play-Curricular activity-Reflection-Discussion) สำหรับการบูรณาการเกมเข้ากับห้องเรียน ซึ่งมีโครงสร้างใกล้เคียงกับรูปแบบ 4-องก์ของผู้วิจัย และพบผลดีต่อผลสัมฤทธิ์และเจตคติของผู้เรียน นอกจากนี้ Lazonder และ Harmsen (2016) สังเคราะห์งานวิจัยเกี่ยวกับ inquiry-based learning พบว่า scaffolding ที่เหมาะสมกับระดับของผู้เรียนจะเพิ่มประสิทธิภาพการเรียนรู้อย่างมีนัยสำคัญ ในงานวิจัยนี้ scaffolding ถูก implement ผ่านระบบ hint ในแต่ละ puzzle และ pace remote ที่ครูสามารถปรับจังหวะได้แบบ real-time</w:t>
      </w:r>
    </w:p>
    <w:p>
      <w:pPr>
        <w:spacing w:after="100" w:before="200"/>
      </w:pPr>
      <w:r>
        <w:rPr>
          <w:rFonts w:ascii="TH Sarabun New" w:cs="TH Sarabun New" w:eastAsia="TH Sarabun New" w:hAnsi="TH Sarabun New"/>
          <w:b/>
          <w:bCs/>
          <w:sz w:val="34"/>
          <w:szCs w:val="34"/>
        </w:rPr>
        <w:t xml:space="preserve">(5) งานวิจัยด้าน Learning Analytics</w:t>
      </w:r>
    </w:p>
    <w:p>
      <w:pPr>
        <w:spacing w:after="80" w:before="0" w:line="360"/>
        <w:ind w:firstLine="720"/>
        <w:jc w:val="both"/>
      </w:pPr>
      <w:r>
        <w:rPr>
          <w:rFonts w:ascii="TH Sarabun New" w:cs="TH Sarabun New" w:eastAsia="TH Sarabun New" w:hAnsi="TH Sarabun New"/>
          <w:sz w:val="32"/>
          <w:szCs w:val="32"/>
        </w:rPr>
        <w:t xml:space="preserve">Ifenthaler, Schumacher และ Kuzilek (2023) สังเคราะห์งานวิจัยเรื่อง learning analytics ในเกมการเรียนรู้ พบว่าการเก็บข้อมูล real-time ผ่าน telemetry สามารถใช้ปรับปรุงการสอนของครูและการเรียนรู้ของผู้เรียนได้อย่างมีประสิทธิภาพ — ผลข้อนี้เป็นรากฐานของการที่ COSMOS LOG ใช้ Apps Script + Firebase ในการเก็บข้อมูลพฤติกรรมการเรียนรู้ที่ละเอียดถึงระดับการคลิกในแต่ละหน้า</w:t>
      </w:r>
    </w:p>
    <w:p>
      <w:pPr>
        <w:spacing w:after="120" w:before="280"/>
      </w:pPr>
      <w:r>
        <w:rPr>
          <w:rFonts w:ascii="TH Sarabun New" w:cs="TH Sarabun New" w:eastAsia="TH Sarabun New" w:hAnsi="TH Sarabun New"/>
          <w:b/>
          <w:bCs/>
          <w:sz w:val="36"/>
          <w:szCs w:val="36"/>
        </w:rPr>
        <w:t xml:space="preserve">2.11.2 งานวิจัยในประเทศไทย</w:t>
      </w:r>
    </w:p>
    <w:p>
      <w:pPr>
        <w:spacing w:after="80" w:before="0" w:line="360"/>
        <w:ind w:firstLine="720"/>
        <w:jc w:val="both"/>
      </w:pPr>
      <w:r>
        <w:rPr>
          <w:rFonts w:ascii="TH Sarabun New" w:cs="TH Sarabun New" w:eastAsia="TH Sarabun New" w:hAnsi="TH Sarabun New"/>
          <w:sz w:val="32"/>
          <w:szCs w:val="32"/>
        </w:rPr>
        <w:t xml:space="preserve">การวิจัยและพัฒนาสื่อการเรียนรู้ดิจิทัลในวิชาดาราศาสตร์ระดับมัธยมศึกษาของไทยยังมีไม่มากนัก งานวิจัยที่พบส่วนใหญ่เป็นการพัฒนาบทเรียนคอมพิวเตอร์ช่วยสอนแบบ standalone ที่เน้นการนำเสนอเนื้อหา (presentation-based) มากกว่าเกมแบบ narrative-driven และไม่ได้บูรณาการ SDT เข้ากับการออกแบบ ส่วนงานวิจัยด้าน gamification ในวิชาวิทยาศาสตร์ของไทยที่ผู้วิจัยทบทวนพบว่า ส่วนใหญ่ใช้เพียง point/badge/leaderboard ไม่ใช่ full game-based learning ที่มี narrative และ game mechanics ลึกอย่างในงานวิจัยนี้</w:t>
      </w:r>
    </w:p>
    <w:p>
      <w:pPr>
        <w:spacing w:after="80" w:before="0" w:line="360"/>
        <w:ind w:firstLine="720"/>
        <w:jc w:val="both"/>
      </w:pPr>
      <w:r>
        <w:rPr>
          <w:rFonts w:ascii="TH Sarabun New" w:cs="TH Sarabun New" w:eastAsia="TH Sarabun New" w:hAnsi="TH Sarabun New"/>
          <w:color w:val="C00000"/>
          <w:sz w:val="32"/>
          <w:szCs w:val="32"/>
        </w:rPr>
        <w:t xml:space="preserve">[ผู้วิจัยเพิ่มเติม: เลือกและอ้างอิงงานวิจัยในไทยที่เกี่ยวข้องอย่างน้อย 5-7 เรื่อง โดยควรครอบคลุมประเด็นต่อไปนี้:]</w:t>
      </w:r>
    </w:p>
    <w:p>
      <w:pPr>
        <w:spacing w:after="80" w:before="0" w:line="360"/>
        <w:ind w:firstLine="720"/>
        <w:jc w:val="both"/>
      </w:pPr>
      <w:r>
        <w:rPr>
          <w:rFonts w:ascii="TH Sarabun New" w:cs="TH Sarabun New" w:eastAsia="TH Sarabun New" w:hAnsi="TH Sarabun New"/>
          <w:color w:val="C00000"/>
          <w:sz w:val="32"/>
          <w:szCs w:val="32"/>
        </w:rPr>
        <w:t xml:space="preserve">• งานวิจัยพัฒนาบทเรียนคอมพิวเตอร์ช่วยสอน/บทเรียนออนไลน์ในวิชาวิทยาศาสตร์โลกและอวกาศ ระดับมัธยมศึกษา (เช่น งานของ ชนาธิป พรกุล (2562) ที่ผู้วิจัยอ้างไว้ในบทที่ 2.3.5 — ตรวจสอบและเพิ่มรายละเอียด ประเภทบทเรียน · n · E1/E2 · t-test)</w:t>
      </w:r>
    </w:p>
    <w:p>
      <w:pPr>
        <w:spacing w:after="80" w:before="0" w:line="360"/>
        <w:ind w:firstLine="720"/>
        <w:jc w:val="both"/>
      </w:pPr>
      <w:r>
        <w:rPr>
          <w:rFonts w:ascii="TH Sarabun New" w:cs="TH Sarabun New" w:eastAsia="TH Sarabun New" w:hAnsi="TH Sarabun New"/>
          <w:color w:val="C00000"/>
          <w:sz w:val="32"/>
          <w:szCs w:val="32"/>
        </w:rPr>
        <w:t xml:space="preserve">• งานวิจัยด้าน gamification ในวิชาวิทยาศาสตร์ระดับมัธยมศึกษาไทย (อ้างอิง "ภัทราภรณ์ (2564)" และ "สิทธิชัย (2565)" ที่ผู้วิจัยกล่าวถึง — ระบุชื่อเต็ม · ปี · มหาวิทยาลัย · ผลการวิจัย)</w:t>
      </w:r>
    </w:p>
    <w:p>
      <w:pPr>
        <w:spacing w:after="80" w:before="0" w:line="360"/>
        <w:ind w:firstLine="720"/>
        <w:jc w:val="both"/>
      </w:pPr>
      <w:r>
        <w:rPr>
          <w:rFonts w:ascii="TH Sarabun New" w:cs="TH Sarabun New" w:eastAsia="TH Sarabun New" w:hAnsi="TH Sarabun New"/>
          <w:color w:val="C00000"/>
          <w:sz w:val="32"/>
          <w:szCs w:val="32"/>
        </w:rPr>
        <w:t xml:space="preserve">• งานวิจัยด้าน AR/VR ดาราศาสตร์ในไทย (อ้างอิง "ปิยะดา จิตอารีย์ (2563)" — ระบุรายละเอียดเต็ม)</w:t>
      </w:r>
    </w:p>
    <w:p>
      <w:pPr>
        <w:spacing w:after="80" w:before="0" w:line="360"/>
        <w:ind w:firstLine="720"/>
        <w:jc w:val="both"/>
      </w:pPr>
      <w:r>
        <w:rPr>
          <w:rFonts w:ascii="TH Sarabun New" w:cs="TH Sarabun New" w:eastAsia="TH Sarabun New" w:hAnsi="TH Sarabun New"/>
          <w:color w:val="C00000"/>
          <w:sz w:val="32"/>
          <w:szCs w:val="32"/>
        </w:rPr>
        <w:t xml:space="preserve">• งานวิจัยด้าน Active Learning ในวิทยาศาสตร์ของไทย</w:t>
      </w:r>
    </w:p>
    <w:p>
      <w:pPr>
        <w:spacing w:after="80" w:before="0" w:line="360"/>
        <w:ind w:firstLine="720"/>
        <w:jc w:val="both"/>
      </w:pPr>
      <w:r>
        <w:rPr>
          <w:rFonts w:ascii="TH Sarabun New" w:cs="TH Sarabun New" w:eastAsia="TH Sarabun New" w:hAnsi="TH Sarabun New"/>
          <w:color w:val="C00000"/>
          <w:sz w:val="32"/>
          <w:szCs w:val="32"/>
        </w:rPr>
        <w:t xml:space="preserve">• งานวิจัยด้านการพัฒนา two-tier diagnostic ในวิชาวิทยาศาสตร์ของไทย</w:t>
      </w:r>
    </w:p>
    <w:p>
      <w:pPr>
        <w:spacing w:after="80" w:before="0" w:line="360"/>
        <w:ind w:firstLine="720"/>
        <w:jc w:val="both"/>
      </w:pPr>
      <w:r>
        <w:rPr>
          <w:rFonts w:ascii="TH Sarabun New" w:cs="TH Sarabun New" w:eastAsia="TH Sarabun New" w:hAnsi="TH Sarabun New"/>
          <w:color w:val="C00000"/>
          <w:sz w:val="32"/>
          <w:szCs w:val="32"/>
        </w:rPr>
        <w:t xml:space="preserve">• งานวิจัยด้านมโนทัศน์ที่คลาดเคลื่อนในดาราศาสตร์ของนักเรียนไทย (อ้างอิง "ปริญญา (2563)" — ระบุชื่อเต็ม)</w:t>
      </w:r>
    </w:p>
    <w:p>
      <w:pPr>
        <w:spacing w:after="120" w:before="280"/>
      </w:pPr>
      <w:r>
        <w:rPr>
          <w:rFonts w:ascii="TH Sarabun New" w:cs="TH Sarabun New" w:eastAsia="TH Sarabun New" w:hAnsi="TH Sarabun New"/>
          <w:b/>
          <w:bCs/>
          <w:sz w:val="36"/>
          <w:szCs w:val="36"/>
        </w:rPr>
        <w:t xml:space="preserve">2.11.3 ตารางสรุปงานวิจัยที่เกี่ยวข้อง</w:t>
      </w:r>
    </w:p>
    <w:p>
      <w:pPr>
        <w:spacing w:after="80" w:before="0" w:line="360"/>
        <w:ind w:firstLine="720"/>
        <w:jc w:val="both"/>
      </w:pPr>
      <w:r>
        <w:rPr>
          <w:rFonts w:ascii="TH Sarabun New" w:cs="TH Sarabun New" w:eastAsia="TH Sarabun New" w:hAnsi="TH Sarabun New"/>
          <w:sz w:val="32"/>
          <w:szCs w:val="32"/>
        </w:rPr>
        <w:t xml:space="preserve">เพื่อความสะดวกในการอ้างอิงและการเชื่อมโยงกับงานวิจัยปัจจุบัน ผู้วิจัยได้สรุปงานวิจัยที่เกี่ยวข้องที่สำคัญที่สุด 7 เรื่องไว้ในตารางที่ 2.13 พร้อมระบุจุดเชื่อมโยงกับงานวิจัยนี้อย่างชัดเจน</w:t>
      </w:r>
    </w:p>
    <w:p>
      <w:pPr>
        <w:spacing w:after="100" w:before="200"/>
      </w:pPr>
      <w:r>
        <w:rPr>
          <w:rFonts w:ascii="TH Sarabun New" w:cs="TH Sarabun New" w:eastAsia="TH Sarabun New" w:hAnsi="TH Sarabun New"/>
          <w:b/>
          <w:bCs/>
          <w:sz w:val="32"/>
          <w:szCs w:val="32"/>
        </w:rPr>
        <w:t xml:space="preserve">ตารางที่ 2.13  สรุปงานวิจัยที่เกี่ยวข้องและความเชื่อมโยงกับงานวิจัยนี้</w:t>
      </w:r>
    </w:p>
    <w:tbl>
      <w:tblPr>
        <w:tblW w:type="pct" w:w="1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gridCol w:w="100"/>
      </w:tblGrid>
      <w:tr>
        <w:trPr>
          <w:tblHeader/>
        </w:trPr>
        <w:tc>
          <w:tcPr>
            <w:tcW w:type="pct" w:w="20%"/>
            <w:shd w:fill="D9E2F3" w:color="auto" w:val="clear"/>
          </w:tcPr>
          <w:p>
            <w:pPr>
              <w:spacing w:after="40" w:line="300"/>
            </w:pPr>
            <w:r>
              <w:rPr>
                <w:rFonts w:ascii="TH Sarabun New" w:cs="TH Sarabun New" w:eastAsia="TH Sarabun New" w:hAnsi="TH Sarabun New"/>
                <w:b/>
                <w:bCs/>
                <w:sz w:val="30"/>
                <w:szCs w:val="30"/>
              </w:rPr>
              <w:t xml:space="preserve">ผู้วิจัย (ปี)</w:t>
            </w:r>
          </w:p>
        </w:tc>
        <w:tc>
          <w:tcPr>
            <w:tcW w:type="pct" w:w="30%"/>
            <w:shd w:fill="D9E2F3" w:color="auto" w:val="clear"/>
          </w:tcPr>
          <w:p>
            <w:pPr>
              <w:spacing w:after="40" w:line="300"/>
            </w:pPr>
            <w:r>
              <w:rPr>
                <w:rFonts w:ascii="TH Sarabun New" w:cs="TH Sarabun New" w:eastAsia="TH Sarabun New" w:hAnsi="TH Sarabun New"/>
                <w:b/>
                <w:bCs/>
                <w:sz w:val="30"/>
                <w:szCs w:val="30"/>
              </w:rPr>
              <w:t xml:space="preserve">ประเด็นวิจัย</w:t>
            </w:r>
          </w:p>
        </w:tc>
        <w:tc>
          <w:tcPr>
            <w:tcW w:type="pct" w:w="28%"/>
            <w:shd w:fill="D9E2F3" w:color="auto" w:val="clear"/>
          </w:tcPr>
          <w:p>
            <w:pPr>
              <w:spacing w:after="40" w:line="300"/>
            </w:pPr>
            <w:r>
              <w:rPr>
                <w:rFonts w:ascii="TH Sarabun New" w:cs="TH Sarabun New" w:eastAsia="TH Sarabun New" w:hAnsi="TH Sarabun New"/>
                <w:b/>
                <w:bCs/>
                <w:sz w:val="30"/>
                <w:szCs w:val="30"/>
              </w:rPr>
              <w:t xml:space="preserve">ผลการวิจัยสำคัญ</w:t>
            </w:r>
          </w:p>
        </w:tc>
        <w:tc>
          <w:tcPr>
            <w:tcW w:type="pct" w:w="22%"/>
            <w:shd w:fill="D9E2F3" w:color="auto" w:val="clear"/>
          </w:tcPr>
          <w:p>
            <w:pPr>
              <w:spacing w:after="40" w:line="300"/>
            </w:pPr>
            <w:r>
              <w:rPr>
                <w:rFonts w:ascii="TH Sarabun New" w:cs="TH Sarabun New" w:eastAsia="TH Sarabun New" w:hAnsi="TH Sarabun New"/>
                <w:b/>
                <w:bCs/>
                <w:sz w:val="30"/>
                <w:szCs w:val="30"/>
              </w:rPr>
              <w:t xml:space="preserve">เชื่อมกับงานวิจัยนี้</w:t>
            </w:r>
          </w:p>
        </w:tc>
      </w:tr>
      <w:tr>
        <w:trPr>
          <w:tblHeader w:val="false"/>
        </w:trPr>
        <w:tc>
          <w:tcPr>
            <w:tcW w:type="pct" w:w="20%"/>
          </w:tcPr>
          <w:p>
            <w:pPr>
              <w:spacing w:after="40" w:line="300"/>
            </w:pPr>
            <w:r>
              <w:rPr>
                <w:rFonts w:ascii="TH Sarabun New" w:cs="TH Sarabun New" w:eastAsia="TH Sarabun New" w:hAnsi="TH Sarabun New"/>
                <w:b w:val="false"/>
                <w:bCs w:val="false"/>
                <w:sz w:val="30"/>
                <w:szCs w:val="30"/>
              </w:rPr>
              <w:t xml:space="preserve">Freeman et al. (2014)</w:t>
            </w:r>
          </w:p>
        </w:tc>
        <w:tc>
          <w:tcPr>
            <w:tcW w:type="pct" w:w="30%"/>
          </w:tcPr>
          <w:p>
            <w:pPr>
              <w:spacing w:after="40" w:line="300"/>
            </w:pPr>
            <w:r>
              <w:rPr>
                <w:rFonts w:ascii="TH Sarabun New" w:cs="TH Sarabun New" w:eastAsia="TH Sarabun New" w:hAnsi="TH Sarabun New"/>
                <w:b w:val="false"/>
                <w:bCs w:val="false"/>
                <w:sz w:val="30"/>
                <w:szCs w:val="30"/>
              </w:rPr>
              <w:t xml:space="preserve">Active Learning in STEM (meta-analysis 225 ฉบับ)</w:t>
            </w:r>
          </w:p>
        </w:tc>
        <w:tc>
          <w:tcPr>
            <w:tcW w:type="pct" w:w="28%"/>
          </w:tcPr>
          <w:p>
            <w:pPr>
              <w:spacing w:after="40" w:line="300"/>
            </w:pPr>
            <w:r>
              <w:rPr>
                <w:rFonts w:ascii="TH Sarabun New" w:cs="TH Sarabun New" w:eastAsia="TH Sarabun New" w:hAnsi="TH Sarabun New"/>
                <w:b w:val="false"/>
                <w:bCs w:val="false"/>
                <w:sz w:val="30"/>
                <w:szCs w:val="30"/>
              </w:rPr>
              <w:t xml:space="preserve">เพิ่มผลสัมฤทธิ์ +6% · ลดสอบตก -55%</w:t>
            </w:r>
          </w:p>
        </w:tc>
        <w:tc>
          <w:tcPr>
            <w:tcW w:type="pct" w:w="22%"/>
          </w:tcPr>
          <w:p>
            <w:pPr>
              <w:spacing w:after="40" w:line="300"/>
            </w:pPr>
            <w:r>
              <w:rPr>
                <w:rFonts w:ascii="TH Sarabun New" w:cs="TH Sarabun New" w:eastAsia="TH Sarabun New" w:hAnsi="TH Sarabun New"/>
                <w:b w:val="false"/>
                <w:bCs w:val="false"/>
                <w:sz w:val="30"/>
                <w:szCs w:val="30"/>
              </w:rPr>
              <w:t xml:space="preserve">สนับสนุนการใช้ AL ในรายวิชา ว 30105</w:t>
            </w:r>
          </w:p>
        </w:tc>
      </w:tr>
      <w:tr>
        <w:trPr>
          <w:tblHeader w:val="false"/>
        </w:trPr>
        <w:tc>
          <w:tcPr>
            <w:tcW w:type="pct" w:w="20%"/>
          </w:tcPr>
          <w:p>
            <w:pPr>
              <w:spacing w:after="40" w:line="300"/>
            </w:pPr>
            <w:r>
              <w:rPr>
                <w:rFonts w:ascii="TH Sarabun New" w:cs="TH Sarabun New" w:eastAsia="TH Sarabun New" w:hAnsi="TH Sarabun New"/>
                <w:b w:val="false"/>
                <w:bCs w:val="false"/>
                <w:sz w:val="30"/>
                <w:szCs w:val="30"/>
              </w:rPr>
              <w:t xml:space="preserve">Tsai et al. (2015)</w:t>
            </w:r>
          </w:p>
        </w:tc>
        <w:tc>
          <w:tcPr>
            <w:tcW w:type="pct" w:w="30%"/>
          </w:tcPr>
          <w:p>
            <w:pPr>
              <w:spacing w:after="40" w:line="300"/>
            </w:pPr>
            <w:r>
              <w:rPr>
                <w:rFonts w:ascii="TH Sarabun New" w:cs="TH Sarabun New" w:eastAsia="TH Sarabun New" w:hAnsi="TH Sarabun New"/>
                <w:b w:val="false"/>
                <w:bCs w:val="false"/>
                <w:sz w:val="30"/>
                <w:szCs w:val="30"/>
              </w:rPr>
              <w:t xml:space="preserve">SDT × DGBL</w:t>
            </w:r>
          </w:p>
        </w:tc>
        <w:tc>
          <w:tcPr>
            <w:tcW w:type="pct" w:w="28%"/>
          </w:tcPr>
          <w:p>
            <w:pPr>
              <w:spacing w:after="40" w:line="300"/>
            </w:pPr>
            <w:r>
              <w:rPr>
                <w:rFonts w:ascii="TH Sarabun New" w:cs="TH Sarabun New" w:eastAsia="TH Sarabun New" w:hAnsi="TH Sarabun New"/>
                <w:b w:val="false"/>
                <w:bCs w:val="false"/>
                <w:sz w:val="30"/>
                <w:szCs w:val="30"/>
              </w:rPr>
              <w:t xml:space="preserve">เกมที่สนับสนุน A·C·R เพิ่มแรงจูงใจภายใน</w:t>
            </w:r>
          </w:p>
        </w:tc>
        <w:tc>
          <w:tcPr>
            <w:tcW w:type="pct" w:w="22%"/>
          </w:tcPr>
          <w:p>
            <w:pPr>
              <w:spacing w:after="40" w:line="300"/>
            </w:pPr>
            <w:r>
              <w:rPr>
                <w:rFonts w:ascii="TH Sarabun New" w:cs="TH Sarabun New" w:eastAsia="TH Sarabun New" w:hAnsi="TH Sarabun New"/>
                <w:b w:val="false"/>
                <w:bCs w:val="false"/>
                <w:sz w:val="30"/>
                <w:szCs w:val="30"/>
              </w:rPr>
              <w:t xml:space="preserve">เป็นแบบในการออกแบบ COSMOS LOG</w:t>
            </w:r>
          </w:p>
        </w:tc>
      </w:tr>
      <w:tr>
        <w:trPr>
          <w:tblHeader w:val="false"/>
        </w:trPr>
        <w:tc>
          <w:tcPr>
            <w:tcW w:type="pct" w:w="20%"/>
          </w:tcPr>
          <w:p>
            <w:pPr>
              <w:spacing w:after="40" w:line="300"/>
            </w:pPr>
            <w:r>
              <w:rPr>
                <w:rFonts w:ascii="TH Sarabun New" w:cs="TH Sarabun New" w:eastAsia="TH Sarabun New" w:hAnsi="TH Sarabun New"/>
                <w:b w:val="false"/>
                <w:bCs w:val="false"/>
                <w:sz w:val="30"/>
                <w:szCs w:val="30"/>
              </w:rPr>
              <w:t xml:space="preserve">Clark et al. (2016)</w:t>
            </w:r>
          </w:p>
        </w:tc>
        <w:tc>
          <w:tcPr>
            <w:tcW w:type="pct" w:w="30%"/>
          </w:tcPr>
          <w:p>
            <w:pPr>
              <w:spacing w:after="40" w:line="300"/>
            </w:pPr>
            <w:r>
              <w:rPr>
                <w:rFonts w:ascii="TH Sarabun New" w:cs="TH Sarabun New" w:eastAsia="TH Sarabun New" w:hAnsi="TH Sarabun New"/>
                <w:b w:val="false"/>
                <w:bCs w:val="false"/>
                <w:sz w:val="30"/>
                <w:szCs w:val="30"/>
              </w:rPr>
              <w:t xml:space="preserve">DGBL meta-analysis 69 ฉบับ</w:t>
            </w:r>
          </w:p>
        </w:tc>
        <w:tc>
          <w:tcPr>
            <w:tcW w:type="pct" w:w="28%"/>
          </w:tcPr>
          <w:p>
            <w:pPr>
              <w:spacing w:after="40" w:line="300"/>
            </w:pPr>
            <w:r>
              <w:rPr>
                <w:rFonts w:ascii="TH Sarabun New" w:cs="TH Sarabun New" w:eastAsia="TH Sarabun New" w:hAnsi="TH Sarabun New"/>
                <w:b w:val="false"/>
                <w:bCs w:val="false"/>
                <w:sz w:val="30"/>
                <w:szCs w:val="30"/>
              </w:rPr>
              <w:t xml:space="preserve">เกมเพิ่มการเรียนรู้ g = 0.33</w:t>
            </w:r>
          </w:p>
        </w:tc>
        <w:tc>
          <w:tcPr>
            <w:tcW w:type="pct" w:w="22%"/>
          </w:tcPr>
          <w:p>
            <w:pPr>
              <w:spacing w:after="40" w:line="300"/>
            </w:pPr>
            <w:r>
              <w:rPr>
                <w:rFonts w:ascii="TH Sarabun New" w:cs="TH Sarabun New" w:eastAsia="TH Sarabun New" w:hAnsi="TH Sarabun New"/>
                <w:b w:val="false"/>
                <w:bCs w:val="false"/>
                <w:sz w:val="30"/>
                <w:szCs w:val="30"/>
              </w:rPr>
              <w:t xml:space="preserve">ยืนยัน effect size ของ DGBL</w:t>
            </w:r>
          </w:p>
        </w:tc>
      </w:tr>
      <w:tr>
        <w:trPr>
          <w:tblHeader w:val="false"/>
        </w:trPr>
        <w:tc>
          <w:tcPr>
            <w:tcW w:type="pct" w:w="20%"/>
          </w:tcPr>
          <w:p>
            <w:pPr>
              <w:spacing w:after="40" w:line="300"/>
            </w:pPr>
            <w:r>
              <w:rPr>
                <w:rFonts w:ascii="TH Sarabun New" w:cs="TH Sarabun New" w:eastAsia="TH Sarabun New" w:hAnsi="TH Sarabun New"/>
                <w:b w:val="false"/>
                <w:bCs w:val="false"/>
                <w:sz w:val="30"/>
                <w:szCs w:val="30"/>
              </w:rPr>
              <w:t xml:space="preserve">Plummer &amp; Krajcik (2010)</w:t>
            </w:r>
          </w:p>
        </w:tc>
        <w:tc>
          <w:tcPr>
            <w:tcW w:type="pct" w:w="30%"/>
          </w:tcPr>
          <w:p>
            <w:pPr>
              <w:spacing w:after="40" w:line="300"/>
            </w:pPr>
            <w:r>
              <w:rPr>
                <w:rFonts w:ascii="TH Sarabun New" w:cs="TH Sarabun New" w:eastAsia="TH Sarabun New" w:hAnsi="TH Sarabun New"/>
                <w:b w:val="false"/>
                <w:bCs w:val="false"/>
                <w:sz w:val="30"/>
                <w:szCs w:val="30"/>
              </w:rPr>
              <w:t xml:space="preserve">Conceptual change ดาราศาสตร์</w:t>
            </w:r>
          </w:p>
        </w:tc>
        <w:tc>
          <w:tcPr>
            <w:tcW w:type="pct" w:w="28%"/>
          </w:tcPr>
          <w:p>
            <w:pPr>
              <w:spacing w:after="40" w:line="300"/>
            </w:pPr>
            <w:r>
              <w:rPr>
                <w:rFonts w:ascii="TH Sarabun New" w:cs="TH Sarabun New" w:eastAsia="TH Sarabun New" w:hAnsi="TH Sarabun New"/>
                <w:b w:val="false"/>
                <w:bCs w:val="false"/>
                <w:sz w:val="30"/>
                <w:szCs w:val="30"/>
              </w:rPr>
              <w:t xml:space="preserve">รูปแบบ misconception เป็นลำดับขั้น</w:t>
            </w:r>
          </w:p>
        </w:tc>
        <w:tc>
          <w:tcPr>
            <w:tcW w:type="pct" w:w="22%"/>
          </w:tcPr>
          <w:p>
            <w:pPr>
              <w:spacing w:after="40" w:line="300"/>
            </w:pPr>
            <w:r>
              <w:rPr>
                <w:rFonts w:ascii="TH Sarabun New" w:cs="TH Sarabun New" w:eastAsia="TH Sarabun New" w:hAnsi="TH Sarabun New"/>
                <w:b w:val="false"/>
                <w:bCs w:val="false"/>
                <w:sz w:val="30"/>
                <w:szCs w:val="30"/>
              </w:rPr>
              <w:t xml:space="preserve">ใช้ในออกแบบ FT-01/FT-02</w:t>
            </w:r>
          </w:p>
        </w:tc>
      </w:tr>
      <w:tr>
        <w:trPr>
          <w:tblHeader w:val="false"/>
        </w:trPr>
        <w:tc>
          <w:tcPr>
            <w:tcW w:type="pct" w:w="20%"/>
          </w:tcPr>
          <w:p>
            <w:pPr>
              <w:spacing w:after="40" w:line="300"/>
            </w:pPr>
            <w:r>
              <w:rPr>
                <w:rFonts w:ascii="TH Sarabun New" w:cs="TH Sarabun New" w:eastAsia="TH Sarabun New" w:hAnsi="TH Sarabun New"/>
                <w:b w:val="false"/>
                <w:bCs w:val="false"/>
                <w:sz w:val="30"/>
                <w:szCs w:val="30"/>
              </w:rPr>
              <w:t xml:space="preserve">Foster &amp; Shah (2015)</w:t>
            </w:r>
          </w:p>
        </w:tc>
        <w:tc>
          <w:tcPr>
            <w:tcW w:type="pct" w:w="30%"/>
          </w:tcPr>
          <w:p>
            <w:pPr>
              <w:spacing w:after="40" w:line="300"/>
            </w:pPr>
            <w:r>
              <w:rPr>
                <w:rFonts w:ascii="TH Sarabun New" w:cs="TH Sarabun New" w:eastAsia="TH Sarabun New" w:hAnsi="TH Sarabun New"/>
                <w:b w:val="false"/>
                <w:bCs w:val="false"/>
                <w:sz w:val="30"/>
                <w:szCs w:val="30"/>
              </w:rPr>
              <w:t xml:space="preserve">PCaRD model</w:t>
            </w:r>
          </w:p>
        </w:tc>
        <w:tc>
          <w:tcPr>
            <w:tcW w:type="pct" w:w="28%"/>
          </w:tcPr>
          <w:p>
            <w:pPr>
              <w:spacing w:after="40" w:line="300"/>
            </w:pPr>
            <w:r>
              <w:rPr>
                <w:rFonts w:ascii="TH Sarabun New" w:cs="TH Sarabun New" w:eastAsia="TH Sarabun New" w:hAnsi="TH Sarabun New"/>
                <w:b w:val="false"/>
                <w:bCs w:val="false"/>
                <w:sz w:val="30"/>
                <w:szCs w:val="30"/>
              </w:rPr>
              <w:t xml:space="preserve">รูปแบบบูรณาการเกมในห้องเรียน</w:t>
            </w:r>
          </w:p>
        </w:tc>
        <w:tc>
          <w:tcPr>
            <w:tcW w:type="pct" w:w="22%"/>
          </w:tcPr>
          <w:p>
            <w:pPr>
              <w:spacing w:after="40" w:line="300"/>
            </w:pPr>
            <w:r>
              <w:rPr>
                <w:rFonts w:ascii="TH Sarabun New" w:cs="TH Sarabun New" w:eastAsia="TH Sarabun New" w:hAnsi="TH Sarabun New"/>
                <w:b w:val="false"/>
                <w:bCs w:val="false"/>
                <w:sz w:val="30"/>
                <w:szCs w:val="30"/>
              </w:rPr>
              <w:t xml:space="preserve">เปรียบเทียบกับ 4-องก์</w:t>
            </w:r>
          </w:p>
        </w:tc>
      </w:tr>
      <w:tr>
        <w:trPr>
          <w:tblHeader w:val="false"/>
        </w:trPr>
        <w:tc>
          <w:tcPr>
            <w:tcW w:type="pct" w:w="20%"/>
          </w:tcPr>
          <w:p>
            <w:pPr>
              <w:spacing w:after="40" w:line="300"/>
            </w:pPr>
            <w:r>
              <w:rPr>
                <w:rFonts w:ascii="TH Sarabun New" w:cs="TH Sarabun New" w:eastAsia="TH Sarabun New" w:hAnsi="TH Sarabun New"/>
                <w:b w:val="false"/>
                <w:bCs w:val="false"/>
                <w:sz w:val="30"/>
                <w:szCs w:val="30"/>
              </w:rPr>
              <w:t xml:space="preserve">Caleon &amp; Subramaniam (2010)</w:t>
            </w:r>
          </w:p>
        </w:tc>
        <w:tc>
          <w:tcPr>
            <w:tcW w:type="pct" w:w="30%"/>
          </w:tcPr>
          <w:p>
            <w:pPr>
              <w:spacing w:after="40" w:line="300"/>
            </w:pPr>
            <w:r>
              <w:rPr>
                <w:rFonts w:ascii="TH Sarabun New" w:cs="TH Sarabun New" w:eastAsia="TH Sarabun New" w:hAnsi="TH Sarabun New"/>
                <w:b w:val="false"/>
                <w:bCs w:val="false"/>
                <w:sz w:val="30"/>
                <w:szCs w:val="30"/>
              </w:rPr>
              <w:t xml:space="preserve">Two-tier with confidence</w:t>
            </w:r>
          </w:p>
        </w:tc>
        <w:tc>
          <w:tcPr>
            <w:tcW w:type="pct" w:w="28%"/>
          </w:tcPr>
          <w:p>
            <w:pPr>
              <w:spacing w:after="40" w:line="300"/>
            </w:pPr>
            <w:r>
              <w:rPr>
                <w:rFonts w:ascii="TH Sarabun New" w:cs="TH Sarabun New" w:eastAsia="TH Sarabun New" w:hAnsi="TH Sarabun New"/>
                <w:b w:val="false"/>
                <w:bCs w:val="false"/>
                <w:sz w:val="30"/>
                <w:szCs w:val="30"/>
              </w:rPr>
              <w:t xml:space="preserve">จำแนก 4 ประเภท Sound/Lucky/Misc/NoK</w:t>
            </w:r>
          </w:p>
        </w:tc>
        <w:tc>
          <w:tcPr>
            <w:tcW w:type="pct" w:w="22%"/>
          </w:tcPr>
          <w:p>
            <w:pPr>
              <w:spacing w:after="40" w:line="300"/>
            </w:pPr>
            <w:r>
              <w:rPr>
                <w:rFonts w:ascii="TH Sarabun New" w:cs="TH Sarabun New" w:eastAsia="TH Sarabun New" w:hAnsi="TH Sarabun New"/>
                <w:b w:val="false"/>
                <w:bCs w:val="false"/>
                <w:sz w:val="30"/>
                <w:szCs w:val="30"/>
              </w:rPr>
              <w:t xml:space="preserve">ใช้ออกแบบเครื่องมือวัดมโนทัศน์</w:t>
            </w:r>
          </w:p>
        </w:tc>
      </w:tr>
      <w:tr>
        <w:trPr>
          <w:tblHeader w:val="false"/>
        </w:trPr>
        <w:tc>
          <w:tcPr>
            <w:tcW w:type="pct" w:w="20%"/>
          </w:tcPr>
          <w:p>
            <w:pPr>
              <w:spacing w:after="40" w:line="300"/>
            </w:pPr>
            <w:r>
              <w:rPr>
                <w:rFonts w:ascii="TH Sarabun New" w:cs="TH Sarabun New" w:eastAsia="TH Sarabun New" w:hAnsi="TH Sarabun New"/>
                <w:b w:val="false"/>
                <w:bCs w:val="false"/>
                <w:sz w:val="30"/>
                <w:szCs w:val="30"/>
              </w:rPr>
              <w:t xml:space="preserve">Howard et al. (2024)</w:t>
            </w:r>
          </w:p>
        </w:tc>
        <w:tc>
          <w:tcPr>
            <w:tcW w:type="pct" w:w="30%"/>
          </w:tcPr>
          <w:p>
            <w:pPr>
              <w:spacing w:after="40" w:line="300"/>
            </w:pPr>
            <w:r>
              <w:rPr>
                <w:rFonts w:ascii="TH Sarabun New" w:cs="TH Sarabun New" w:eastAsia="TH Sarabun New" w:hAnsi="TH Sarabun New"/>
                <w:b w:val="false"/>
                <w:bCs w:val="false"/>
                <w:sz w:val="30"/>
                <w:szCs w:val="30"/>
              </w:rPr>
              <w:t xml:space="preserve">SDT × education (meta 144)</w:t>
            </w:r>
          </w:p>
        </w:tc>
        <w:tc>
          <w:tcPr>
            <w:tcW w:type="pct" w:w="28%"/>
          </w:tcPr>
          <w:p>
            <w:pPr>
              <w:spacing w:after="40" w:line="300"/>
            </w:pPr>
            <w:r>
              <w:rPr>
                <w:rFonts w:ascii="TH Sarabun New" w:cs="TH Sarabun New" w:eastAsia="TH Sarabun New" w:hAnsi="TH Sarabun New"/>
                <w:b w:val="false"/>
                <w:bCs w:val="false"/>
                <w:sz w:val="30"/>
                <w:szCs w:val="30"/>
              </w:rPr>
              <w:t xml:space="preserve">A·C·R สัมพันธ์กับ achievement r=0.27</w:t>
            </w:r>
          </w:p>
        </w:tc>
        <w:tc>
          <w:tcPr>
            <w:tcW w:type="pct" w:w="22%"/>
          </w:tcPr>
          <w:p>
            <w:pPr>
              <w:spacing w:after="40" w:line="300"/>
            </w:pPr>
            <w:r>
              <w:rPr>
                <w:rFonts w:ascii="TH Sarabun New" w:cs="TH Sarabun New" w:eastAsia="TH Sarabun New" w:hAnsi="TH Sarabun New"/>
                <w:b w:val="false"/>
                <w:bCs w:val="false"/>
                <w:sz w:val="30"/>
                <w:szCs w:val="30"/>
              </w:rPr>
              <w:t xml:space="preserve">ยืนยันความเชื่อมโยง SDT-ผลการเรียน</w:t>
            </w:r>
          </w:p>
        </w:tc>
      </w:tr>
      <w:tr>
        <w:trPr>
          <w:tblHeader w:val="false"/>
        </w:trPr>
        <w:tc>
          <w:tcPr>
            <w:tcW w:type="pct" w:w="20%"/>
          </w:tcPr>
          <w:p>
            <w:pPr>
              <w:spacing w:after="40" w:line="300"/>
            </w:pPr>
            <w:r>
              <w:rPr>
                <w:rFonts w:ascii="TH Sarabun New" w:cs="TH Sarabun New" w:eastAsia="TH Sarabun New" w:hAnsi="TH Sarabun New"/>
                <w:b w:val="false"/>
                <w:bCs w:val="false"/>
                <w:sz w:val="30"/>
                <w:szCs w:val="30"/>
              </w:rPr>
              <w:t xml:space="default">[ผู้วิจัยเพิ่มเติม]</w:t>
            </w:r>
          </w:p>
        </w:tc>
        <w:tc>
          <w:tcPr>
            <w:tcW w:type="pct" w:w="30%"/>
          </w:tcPr>
          <w:p>
            <w:pPr>
              <w:spacing w:after="40" w:line="300"/>
            </w:pPr>
            <w:r>
              <w:rPr>
                <w:rFonts w:ascii="TH Sarabun New" w:cs="TH Sarabun New" w:eastAsia="TH Sarabun New" w:hAnsi="TH Sarabun New"/>
                <w:b w:val="false"/>
                <w:bCs w:val="false"/>
                <w:sz w:val="30"/>
                <w:szCs w:val="30"/>
              </w:rPr>
              <w:t xml:space="default">งานวิจัยในไทย (5-7 เรื่อง)</w:t>
            </w:r>
          </w:p>
        </w:tc>
        <w:tc>
          <w:tcPr>
            <w:tcW w:type="pct" w:w="28%"/>
          </w:tcPr>
          <w:p>
            <w:pPr>
              <w:spacing w:after="40" w:line="300"/>
            </w:pPr>
            <w:r>
              <w:rPr>
                <w:rFonts w:ascii="TH Sarabun New" w:cs="TH Sarabun New" w:eastAsia="TH Sarabun New" w:hAnsi="TH Sarabun New"/>
                <w:b w:val="false"/>
                <w:bCs w:val="false"/>
                <w:sz w:val="30"/>
                <w:szCs w:val="30"/>
              </w:rPr>
              <w:t xml:space="default">[ผลที่สำคัญ]</w:t>
            </w:r>
          </w:p>
        </w:tc>
        <w:tc>
          <w:tcPr>
            <w:tcW w:type="pct" w:w="22%"/>
          </w:tcPr>
          <w:p>
            <w:pPr>
              <w:spacing w:after="40" w:line="300"/>
            </w:pPr>
            <w:r>
              <w:rPr>
                <w:rFonts w:ascii="TH Sarabun New" w:cs="TH Sarabun New" w:eastAsia="TH Sarabun New" w:hAnsi="TH Sarabun New"/>
                <w:b w:val="false"/>
                <w:bCs w:val="false"/>
                <w:sz w:val="30"/>
                <w:szCs w:val="30"/>
              </w:rPr>
              <w:t xml:space="default">[จุดเชื่อมโยง]</w:t>
            </w:r>
          </w:p>
        </w:tc>
      </w:tr>
    </w:tbl>
    <w:p>
      <w:pPr>
        <w:spacing w:after="120" w:before="280"/>
      </w:pPr>
      <w:r>
        <w:rPr>
          <w:rFonts w:ascii="TH Sarabun New" w:cs="TH Sarabun New" w:eastAsia="TH Sarabun New" w:hAnsi="TH Sarabun New"/>
          <w:b/>
          <w:bCs/>
          <w:sz w:val="36"/>
          <w:szCs w:val="36"/>
        </w:rPr>
        <w:t xml:space="preserve">2.11.4 ช่องว่างทางวิชาการ (Research Gap) และจุดที่งานวิจัยนี้เติมเต็ม</w:t>
      </w:r>
    </w:p>
    <w:p>
      <w:pPr>
        <w:spacing w:after="80" w:before="0" w:line="360"/>
        <w:ind w:firstLine="720"/>
        <w:jc w:val="both"/>
      </w:pPr>
      <w:r>
        <w:rPr>
          <w:rFonts w:ascii="TH Sarabun New" w:cs="TH Sarabun New" w:eastAsia="TH Sarabun New" w:hAnsi="TH Sarabun New"/>
          <w:sz w:val="32"/>
          <w:szCs w:val="32"/>
        </w:rPr>
        <w:t xml:space="preserve">จากการทบทวนวรรณกรรมข้างต้น ผู้วิจัยพบช่องว่างทางวิชาการ 5 ประการที่งานวิจัยนี้ต้องการเติมเต็ม ซึ่งเป็นการระบุ "เหตุผลของการมีอยู่" ของงานวิจัยนี้อย่างชัดเจน</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ช่องว่างด้านบริบท: ยังไม่มีงานวิจัยที่พัฒนาชุดบทเรียนเกมดิจิทัลครอบคลุมเนื้อหาดาราศาสตร์ทั้งรายวิชาในระดับมัธยมศึกษาไทย</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ช่องว่างด้านทฤษฎี: ยังไม่มีงานวิจัยในไทยที่บูรณาการ Active Learning + SDT + Game-Based Learning + Conceptual Change เข้าด้วยกันอย่างเป็นระบบในรูปแบบ 4-องก์</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ช่องว่างด้านเครื่องมือ: ยังไม่มีงานวิจัยในไทยที่ใช้ Two-tier diagnostic with confidence rating วินิจฉัย misconception ทางดาราศาสตร์อย่างละเอียด</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ช่องว่างด้านวิธีวิทยา: ยังไม่มีงานวิจัยในไทยที่ใช้ learning analytics ผ่าน Apps Script + Firebase ในการเก็บข้อมูลพฤติกรรมการเรียนรู้แบบ real-time</w:t>
      </w:r>
    </w:p>
    <w:p>
      <w:pPr>
        <w:spacing w:after="60" w:line="340"/>
        <w:ind w:left="720" w:hanging="360"/>
        <w:jc w:val="both"/>
      </w:pPr>
      <w:r>
        <w:rPr>
          <w:rFonts w:ascii="TH Sarabun New" w:cs="TH Sarabun New" w:eastAsia="TH Sarabun New" w:hAnsi="TH Sarabun New"/>
          <w:sz w:val="32"/>
          <w:szCs w:val="32"/>
        </w:rPr>
        <w:t xml:space="preserve">•  </w:t>
      </w:r>
      <w:r>
        <w:rPr>
          <w:rFonts w:ascii="TH Sarabun New" w:cs="TH Sarabun New" w:eastAsia="TH Sarabun New" w:hAnsi="TH Sarabun New"/>
          <w:sz w:val="32"/>
          <w:szCs w:val="32"/>
        </w:rPr>
        <w:t xml:space="preserve">ช่องว่างด้านการประเมินคุณค่า: ยังไม่มีงานวิจัยในไทยที่ใช้ทั้ง quantitative (paired t-test, Hake's g) และ qualitative (semi-structured interview 9 คน · stratified purposive sampling) ในการประเมินนวัตกรรมเดียวกัน</w:t>
      </w:r>
    </w:p>
    <w:p>
      <w:pPr>
        <w:spacing w:after="80" w:before="0" w:line="360"/>
        <w:ind w:firstLine="720"/>
        <w:jc w:val="both"/>
      </w:pPr>
      <w:r>
        <w:rPr>
          <w:rFonts w:ascii="TH Sarabun New" w:cs="TH Sarabun New" w:eastAsia="TH Sarabun New" w:hAnsi="TH Sarabun New"/>
          <w:sz w:val="32"/>
          <w:szCs w:val="32"/>
        </w:rPr>
        <w:t xml:space="preserve">การวิจัยฉบับนี้จึงเป็นการเติมเต็มช่องว่าง (gap) ทางวิชาการและการปฏิบัติ โดยนำเสนอนวัตกรรมที่บูรณาการศาสตร์การสอน-การวิจัย-เทคโนโลยีเข้าไว้ด้วยกัน เพื่อเป็นต้นแบบสำหรับการพัฒนาสื่อการเรียนรู้ดิจิทัลในวิชาวิทยาศาสตร์ของไทยต่อไป</w:t>
      </w:r>
    </w:p>
    <w:p>
      <w:pPr>
        <w:spacing w:after="160" w:before="360"/>
      </w:pPr>
      <w:r>
        <w:rPr>
          <w:rFonts w:ascii="TH Sarabun New" w:cs="TH Sarabun New" w:eastAsia="TH Sarabun New" w:hAnsi="TH Sarabun New"/>
          <w:b/>
          <w:bCs/>
          <w:sz w:val="40"/>
          <w:szCs w:val="40"/>
        </w:rPr>
        <w:t xml:space="preserve">สรุปบทที่ 2</w:t>
      </w:r>
    </w:p>
    <w:p>
      <w:pPr>
        <w:spacing w:after="80" w:before="0" w:line="360"/>
        <w:ind w:firstLine="720"/>
        <w:jc w:val="both"/>
      </w:pPr>
      <w:r>
        <w:rPr>
          <w:rFonts w:ascii="TH Sarabun New" w:cs="TH Sarabun New" w:eastAsia="TH Sarabun New" w:hAnsi="TH Sarabun New"/>
          <w:sz w:val="32"/>
          <w:szCs w:val="32"/>
        </w:rPr>
        <w:t xml:space="preserve">จากการทบทวนวรรณกรรมและงานวิจัยที่เกี่ยวข้องทั้ง 11 ส่วน ผู้วิจัยได้สังเคราะห์กรอบทฤษฎีที่ใช้เป็นฐานของรูปแบบการจัดการเรียนรู้แบบ 4-องก์ ได้แก่ Active Learning + SDT + DGBL + Conceptual Change บูรณาการเข้ากับเกณฑ์ E1/E2 ของ ชัยยงค์ พรหมวงศ์ Two-tier diagnostic ของ Caleon และ Subramaniam และ Likert Scale สำหรับวัดความพึงพอใจ ทั้งหมดนี้นำไปสู่การออกแบบวิธีดำเนินการวิจัยใน บทที่ 3 ที่จะกล่าวถึงประชากร กลุ่มตัวอย่าง เครื่องมือวิจัย ขั้นตอนการเก็บข้อมูล และสถิติที่ใช้วิเคราะห์ข้อมูลต่อไป</w:t>
      </w:r>
    </w:p>
    <w:p>
      <w:pPr>
        <w:spacing w:after="80" w:before="0" w:line="360"/>
        <w:ind w:firstLine="720"/>
        <w:jc w:val="both"/>
      </w:pPr>
      <w:r>
        <w:rPr>
          <w:rFonts w:ascii="TH Sarabun New" w:cs="TH Sarabun New" w:eastAsia="TH Sarabun New" w:hAnsi="TH Sarabun New"/>
          <w:sz w:val="32"/>
          <w:szCs w:val="32"/>
        </w:rPr>
        <w:t xml:space="preserve">การที่ทฤษฎีหลายฐานสามารถบูรณาการเข้าด้วยกันเป็นรูปแบบเดียวที่ใช้งานได้จริง สะท้อนให้เห็นว่า "การออกแบบที่ดี" ในวงการการศึกษาไม่ใช่การเลือกทฤษฎีใดทฤษฎีหนึ่ง แต่เป็นการเข้าใจว่าแต่ละทฤษฎีตอบคำถามต่างกัน และเมื่อนำมาประกอบกันอย่างเหมาะสม จะได้ "ภาพรวม" ที่สมบูรณ์กว่า — ซึ่งเป็นปรัชญาที่ผู้วิจัยยึดถือในการพัฒนา COSMOS LOG ในงานวิจัยฉบับนี้</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sz w:val="32"/>
        <w:szCs w:val="3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รายงานวิจัย บทที่ 2 (พรรณนา) พาร์ท B</dc:title>
  <dc:creator>Komen Papato</dc:creator>
  <cp:lastModifiedBy>Un-named</cp:lastModifiedBy>
  <cp:revision>1</cp:revision>
  <dcterms:created xsi:type="dcterms:W3CDTF">2026-05-04T17:28:16.680Z</dcterms:created>
  <dcterms:modified xsi:type="dcterms:W3CDTF">2026-05-04T17:28:16.686Z</dcterms:modified>
</cp:coreProperties>
</file>

<file path=docProps/custom.xml><?xml version="1.0" encoding="utf-8"?>
<Properties xmlns="http://schemas.openxmlformats.org/officeDocument/2006/custom-properties" xmlns:vt="http://schemas.openxmlformats.org/officeDocument/2006/docPropsVTypes"/>
</file>