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240"/>
        <w:jc w:val="center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/>
          <w:sz w:val="40"/>
          <w:lang w:val="th-TH" w:bidi="th-TH" w:eastAsia="th-TH"/>
          <w:szCs w:val="40"/>
        </w:rPr>
        <w:t>รายงานการวิจัย</w:t>
      </w:r>
    </w:p>
    <w:p>
      <w:pPr>
        <w:spacing w:after="0" w:line="276" w:lineRule="auto"/>
        <w:jc w:val="left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 w:val="0"/>
          <w:sz w:val="32"/>
          <w:lang w:val="th-TH" w:bidi="th-TH" w:eastAsia="th-TH"/>
          <w:szCs w:val="32"/>
        </w:rPr>
        <w:t>(Full Research Report)</w:t>
      </w:r>
    </w:p>
    <w:p>
      <w:pPr>
        <w:spacing w:after="0" w:line="276" w:lineRule="auto"/>
        <w:jc w:val="left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 w:val="0"/>
          <w:sz w:val="32"/>
          <w:lang w:val="th-TH" w:bidi="th-TH" w:eastAsia="th-TH"/>
          <w:szCs w:val="32"/>
        </w:rPr>
        <w:t>เรื่อง</w:t>
      </w:r>
    </w:p>
    <w:p>
      <w:pPr>
        <w:spacing w:before="240" w:after="240"/>
        <w:jc w:val="center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/>
          <w:sz w:val="40"/>
          <w:lang w:val="th-TH" w:bidi="th-TH" w:eastAsia="th-TH"/>
          <w:szCs w:val="40"/>
        </w:rPr>
        <w:t>การพัฒนา​ชุด​บทเรียน​เกม​ดิจิทัล​แบบ 4-องก์ เรื่อง ดาราศาสตร์</w:t>
      </w:r>
    </w:p>
    <w:p>
      <w:pPr>
        <w:spacing w:before="240" w:after="240"/>
        <w:jc w:val="center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/>
          <w:sz w:val="40"/>
          <w:lang w:val="th-TH" w:bidi="th-TH" w:eastAsia="th-TH"/>
          <w:szCs w:val="40"/>
        </w:rPr>
        <w:t>ตาม​แนวคิด​การเรียนรู้​เชิงรุก​ร่วมกับ​ทฤษฎี​การ​กำหนด​ตนเอง</w:t>
      </w:r>
    </w:p>
    <w:p>
      <w:pPr>
        <w:spacing w:before="240" w:after="240"/>
        <w:jc w:val="center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/>
          <w:sz w:val="40"/>
          <w:lang w:val="th-TH" w:bidi="th-TH" w:eastAsia="th-TH"/>
          <w:szCs w:val="40"/>
        </w:rPr>
        <w:t>เพื่อ​ส่งเสริม​มโนทัศน์​ทางวิทยาศาสตร์​และ​แรงจูงใจ​ใน​การเรียนรู้</w:t>
      </w:r>
    </w:p>
    <w:p>
      <w:pPr>
        <w:spacing w:before="240" w:after="240"/>
        <w:jc w:val="center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/>
          <w:sz w:val="40"/>
          <w:lang w:val="th-TH" w:bidi="th-TH" w:eastAsia="th-TH"/>
          <w:szCs w:val="40"/>
        </w:rPr>
        <w:t>ของ​นักเรียน​ชั้นมัธยมศึกษา​ปี​ที่ 5</w:t>
      </w:r>
    </w:p>
    <w:p>
      <w:pPr>
        <w:spacing w:after="0" w:line="276" w:lineRule="auto"/>
        <w:jc w:val="left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 w:val="0"/>
          <w:sz w:val="32"/>
          <w:lang w:val="th-TH" w:bidi="th-TH" w:eastAsia="th-TH"/>
          <w:szCs w:val="32"/>
        </w:rPr>
      </w:r>
    </w:p>
    <w:p>
      <w:pPr>
        <w:spacing w:after="0" w:line="276" w:lineRule="auto"/>
        <w:jc w:val="left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 w:val="0"/>
          <w:sz w:val="32"/>
          <w:lang w:val="th-TH" w:bidi="th-TH" w:eastAsia="th-TH"/>
          <w:szCs w:val="32"/>
        </w:rPr>
        <w:t>โดย</w:t>
      </w:r>
    </w:p>
    <w:p>
      <w:pPr>
        <w:spacing w:after="0" w:line="276" w:lineRule="auto"/>
        <w:jc w:val="left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/>
          <w:sz w:val="32"/>
          <w:lang w:val="th-TH" w:bidi="th-TH" w:eastAsia="th-TH"/>
          <w:szCs w:val="32"/>
        </w:rPr>
        <w:t>นาย​โกเมน ปา​ปะ​โถ</w:t>
      </w:r>
    </w:p>
    <w:p>
      <w:pPr>
        <w:spacing w:after="0" w:line="276" w:lineRule="auto"/>
        <w:jc w:val="left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 w:val="0"/>
          <w:sz w:val="32"/>
          <w:lang w:val="th-TH" w:bidi="th-TH" w:eastAsia="th-TH"/>
          <w:szCs w:val="32"/>
        </w:rPr>
        <w:t>ตำแหน่ง​ครู วิทยฐานะ​ครู​ชำนาญ​การ​พิเศษ</w:t>
      </w:r>
    </w:p>
    <w:p>
      <w:pPr>
        <w:spacing w:after="0" w:line="276" w:lineRule="auto"/>
        <w:jc w:val="left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 w:val="0"/>
          <w:sz w:val="32"/>
          <w:lang w:val="th-TH" w:bidi="th-TH" w:eastAsia="th-TH"/>
          <w:szCs w:val="32"/>
        </w:rPr>
        <w:t>กลุ่ม​สาระ​การเรียนรู้​วิทยาศาสตร์​และ​เทคโนโลยี โรงเรียนสตรี​วิทยา</w:t>
      </w:r>
    </w:p>
    <w:p>
      <w:pPr>
        <w:spacing w:after="0" w:line="276" w:lineRule="auto"/>
        <w:jc w:val="left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 w:val="0"/>
          <w:sz w:val="32"/>
          <w:lang w:val="th-TH" w:bidi="th-TH" w:eastAsia="th-TH"/>
          <w:szCs w:val="32"/>
        </w:rPr>
      </w:r>
    </w:p>
    <w:p>
      <w:pPr>
        <w:spacing w:after="0" w:line="276" w:lineRule="auto"/>
        <w:jc w:val="left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 w:val="0"/>
          <w:sz w:val="32"/>
          <w:lang w:val="th-TH" w:bidi="th-TH" w:eastAsia="th-TH"/>
          <w:szCs w:val="32"/>
        </w:rPr>
        <w:t>รายงานการวิจัย​ฉบับ​นี้​เป็น​ส่วนหนึ่ง​ของ​การประเมิน​ตำแหน่ง​วิทยฐานะ​ครู​เชี่ยวชาญ (วPA) ปีการศึกษา 2569</w:t>
      </w:r>
    </w:p>
    <w:p>
      <w:pPr>
        <w:spacing w:after="0" w:line="276" w:lineRule="auto"/>
        <w:jc w:val="left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 w:val="0"/>
          <w:sz w:val="32"/>
          <w:lang w:val="th-TH" w:bidi="th-TH" w:eastAsia="th-TH"/>
          <w:szCs w:val="32"/>
        </w:rPr>
        <w:t>สำนักงานเขต​พื้นที่​การศึกษา​มัธยมศึกษา​กรุงเทพมหานคร เขต 1</w:t>
      </w:r>
    </w:p>
    <w:p>
      <w:pPr>
        <w:rPr>
          <w:lang w:val="th-TH" w:bidi="th-TH" w:eastAsia="th-TH"/>
        </w:rPr>
      </w:pPr>
      <w:r>
        <w:br w:type="page"/>
      </w:r>
    </w:p>
    <w:p>
      <w:pPr>
        <w:spacing w:before="240" w:after="240"/>
        <w:jc w:val="center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/>
          <w:sz w:val="40"/>
          <w:lang w:val="th-TH" w:bidi="th-TH" w:eastAsia="th-TH"/>
          <w:szCs w:val="40"/>
        </w:rPr>
        <w:t>บท​ที่ 1</w:t>
      </w:r>
    </w:p>
    <w:p>
      <w:pPr>
        <w:spacing w:before="240" w:after="240"/>
        <w:jc w:val="center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/>
          <w:sz w:val="40"/>
          <w:lang w:val="th-TH" w:bidi="th-TH" w:eastAsia="th-TH"/>
          <w:szCs w:val="40"/>
        </w:rPr>
        <w:t>บทนำ</w:t>
      </w:r>
    </w:p>
    <w:p>
      <w:pPr>
        <w:spacing w:before="240" w:after="120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/>
          <w:sz w:val="36"/>
          <w:lang w:val="th-TH" w:bidi="th-TH" w:eastAsia="th-TH"/>
          <w:szCs w:val="36"/>
        </w:rPr>
        <w:t>1.1 ความเป็นมา​และ​ความสำคัญ​ของ​ปัญหา</w:t>
      </w:r>
    </w:p>
    <w:p>
      <w:pPr>
        <w:spacing w:after="0" w:line="276" w:lineRule="auto"/>
        <w:ind w:firstLine="720"/>
        <w:jc w:val="left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 w:val="0"/>
          <w:sz w:val="32"/>
          <w:lang w:val="th-TH" w:bidi="th-TH" w:eastAsia="th-TH"/>
          <w:szCs w:val="32"/>
        </w:rPr>
        <w:t>การ​จัด​การเรียนรู้​วิทยาศาสตร์​ใน​ศตวรรษ​ที่ 21 มี​เป้าหมาย​เพื่อ​พัฒนา​ผู้เรียน​ให้​สามารถ​สร้าง​ความรู้​ด้วย​ตนเอง คิด​วิเคราะห์ คิด​เชิง​ระบบ และ​นำ​ความรู้​ไป​ประยุกต์ใช้​ใน​สถานการณ์​จริง (Partnership for 21st Century Skills, 2009; OECD, 2018) อัน​สอดคล้อง​กับ​เป้าหมาย​ของ​หลักสูตร​แกนกลาง​การศึกษา​ขั้นพื้นฐาน พุทธศักราช 2551 (ฉบับ​ปรับปรุง พ.ศ. 2560) ที่​กำหนดให้​ผู้เรียน "คิด​เป็น ทำเป็น แก้ปัญหา​เป็น" (กระทรวงศึกษาธิการ, 2560) และ​สอด​รับ​กับ​แนวทาง STEM education ที่​เน้น​การ​บูรณาการ​ความรู้​ข้าม​ศาสตร์ (Bybee, 2013; สถาบัน​ส่งเสริม​การสอน​วิทยาศาสตร์​และ​เทคโนโลยี [สส​วท.], 2562)</w:t>
      </w:r>
    </w:p>
    <w:p>
      <w:pPr>
        <w:spacing w:after="0" w:line="276" w:lineRule="auto"/>
        <w:ind w:firstLine="720"/>
        <w:jc w:val="left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 w:val="0"/>
          <w:sz w:val="32"/>
          <w:lang w:val="th-TH" w:bidi="th-TH" w:eastAsia="th-TH"/>
          <w:szCs w:val="32"/>
        </w:rPr>
        <w:t>รายวิชา ว 30105 วิทยาศาสตร์​พื้นฐาน 5 (โลก​และ​อวกาศ) ใน​ระดับ​ชั้นมัธยมศึกษา​ปี​ที่ 5 เป็น​รายวิชา​ที่​มี​ลักษณะเฉพาะ ด้วย​เนื้อหา​ส่วนใหญ่​เป็น​ปรากฏการณ์​ใน​ระดับ​จักรวาล​ที่​ไม่​อาจ​สังเกต​หรือ​ทด​ลองใน​ห้องเรียน​ได้​โดยตรง (Plummer &amp; Krajcik, 2010; Bailey &amp; Slater, 2003) จาก​การสอน​ของ​ผู้วิจัย​ที่​โรงเรียนสตรี​วิทยา ระหว่าง​ปีการศึกษา 2566-2568 ผู้วิจัย​ได้​พบ​ปัญหา​ใน​การ​จัด​การเรียนรู้ 4 ประการ​สำคัญ ดังนี้</w:t>
      </w:r>
    </w:p>
    <w:p>
      <w:pPr>
        <w:spacing w:after="0" w:line="276" w:lineRule="auto"/>
        <w:ind w:left="567" w:hanging="454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 w:val="0"/>
          <w:sz w:val="32"/>
          <w:lang w:val="th-TH" w:bidi="th-TH" w:eastAsia="th-TH"/>
          <w:szCs w:val="32"/>
        </w:rPr>
        <w:t>(1)  เนื้อหา​เป็น​นามธรรม​และ​ไกล​ตัว ผู้เรียน​ไม่​สามารถ​สร้าง​ประสบการณ์​ตรง​ผ่าน​การทด​ลองใน​ห้องเรียน​ได้ ทำให้​ความเข้าใจ​ของ​ผู้เรียน​เป็น​ลักษณะ​ของ​การ "ท่องจำ" มากกว่า​การ​สร้าง​มโนทัศน์​ที่​ลึกซึ้ง (Bailey &amp; Slater, 2003; Trumper, 2001)</w:t>
      </w:r>
    </w:p>
    <w:p>
      <w:pPr>
        <w:spacing w:after="0" w:line="276" w:lineRule="auto"/>
        <w:ind w:left="567" w:hanging="454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 w:val="0"/>
          <w:sz w:val="32"/>
          <w:lang w:val="th-TH" w:bidi="th-TH" w:eastAsia="th-TH"/>
          <w:szCs w:val="32"/>
        </w:rPr>
        <w:t>(2)  มโนทัศน์​ที่​คลาดเคลื่อน (Misconception) จำนวนมาก เช่น "บิ​ก​แบ​ง​คือ​การระเบิด​ใน​ที่ว่าง" "ดวงอาทิตย์​เผาไหม้​ออกซิเจน" "ฤดูกาล​เกิด​จาก​ระยะห่าง​ระหว่าง​โลก​กับ​ดวงอาทิตย์" "ดาวเทียม geostationary ลอย​นิ่ง" ซึ่ง​สอดคล้อง​กับ​การสำรวจ​ใน​ต่างประเทศ​ของ Comins (2001), Sadler (1992) และ Plummer และ Krajcik (2010) รวมทั้ง​งานวิจัย​ใน​ไทย​ของ ปริญญา (2563)</w:t>
      </w:r>
    </w:p>
    <w:p>
      <w:pPr>
        <w:spacing w:after="0" w:line="276" w:lineRule="auto"/>
        <w:ind w:left="567" w:hanging="454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 w:val="0"/>
          <w:sz w:val="32"/>
          <w:lang w:val="th-TH" w:bidi="th-TH" w:eastAsia="th-TH"/>
          <w:szCs w:val="32"/>
        </w:rPr>
        <w:t>(3)  แรงจูงใจ​ใน​การเรียน​ต่ำ ผู้เรียน​จำนวนมาก​มองว่า​รายวิชา​นี้ "ท่อง​เยอะ" "ไม่​ใช่​ฟิสิกส์​จริง" และ "ไม่​เกี่ยวกับ​การ​สอบ​เข้า​มหาวิทยาลัย" ผล​การ​สังเกต​ใน​ห้องเรียน​พบ​ว่า ผู้เรียน​มี​พฤติกรรม off-task มากกว่า 30% ของ​เวลาเรียน ซึ่ง​สอดคล้อง​กับ​งานวิจัย​ของ Skinner และ Belmont (1993) และ Furrer และ Skinner (2003) ที่​พบ​ว่า​แรงจูงใจ​ที่ต่ำ​สัมพันธ์​โดยตรง​กับ disengagement ใน​ห้องเรียน</w:t>
      </w:r>
    </w:p>
    <w:p>
      <w:pPr>
        <w:spacing w:after="0" w:line="276" w:lineRule="auto"/>
        <w:ind w:left="567" w:hanging="454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 w:val="0"/>
          <w:sz w:val="32"/>
          <w:lang w:val="th-TH" w:bidi="th-TH" w:eastAsia="th-TH"/>
          <w:szCs w:val="32"/>
        </w:rPr>
        <w:t>(4)  สื่อ​และ​กิจกรรม​ที่​ใช้​ใน​การสอน​ยังคง​เป็น​รูปแบบ lecture-based ผ่าน PowerPoint และ​วิดีโอ​ประกอบ ขาด​การ​มีส่วนร่วม​เชิง​ปฏิบัติ​ของ​ผู้เรียน ไม่​สอดคล้อง​กับ​ลักษณะ​ของ Generation Z ที่​เติบ​โตมา​ใน​ยุค​ของ​เกม​และ​สื่อ​โต้ตอบ (Prensky, 2001; Gee, 2003; Plass, Homer, &amp; Kinzer, 2015)</w:t>
      </w:r>
    </w:p>
    <w:p>
      <w:pPr>
        <w:spacing w:after="0" w:line="276" w:lineRule="auto"/>
        <w:ind w:firstLine="720"/>
        <w:jc w:val="left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 w:val="0"/>
          <w:sz w:val="32"/>
          <w:lang w:val="th-TH" w:bidi="th-TH" w:eastAsia="th-TH"/>
          <w:szCs w:val="32"/>
        </w:rPr>
        <w:t>จาก​การทบทวน​วรรณกรรม พบ​ว่า​แนวคิด​และ​ทฤษฎี​ที่​สามารถ​ตอบ​โจทย์​ปัญหา​ดังกล่าว​ได้​อย่าง​เป็นระบบ ประกอบด้วย 4 องค์ประกอบ​หลัก ได้แก่</w:t>
      </w:r>
    </w:p>
    <w:p>
      <w:pPr>
        <w:spacing w:after="0" w:line="276" w:lineRule="auto"/>
        <w:ind w:left="567" w:hanging="454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 w:val="0"/>
          <w:sz w:val="32"/>
          <w:lang w:val="th-TH" w:bidi="th-TH" w:eastAsia="th-TH"/>
          <w:szCs w:val="32"/>
        </w:rPr>
        <w:t>(1)  การเรียนรู้​เชิงรุก (Active Learning) ของ Bonwell และ Eison (1991) ซึ่ง Freeman และ​คณะ (2014) ได้​สังเคราะห์ meta-analysis จาก​งานวิจัย 225 ฉบับ ใน​วารสาร Proceedings of the National Academy of Sciences พบ​ว่า เพิ่ม​ผลสัมฤทธิ์​ทาง​การเรียน​เฉลี่ย 6% และ​ลด​อัตรา​การ​สอบตก​ร้อยละ 55 ใน​รายวิชา STEM ระดับ​อุดมศึกษา</w:t>
      </w:r>
    </w:p>
    <w:p>
      <w:pPr>
        <w:spacing w:after="0" w:line="276" w:lineRule="auto"/>
        <w:ind w:left="567" w:hanging="454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 w:val="0"/>
          <w:sz w:val="32"/>
          <w:lang w:val="th-TH" w:bidi="th-TH" w:eastAsia="th-TH"/>
          <w:szCs w:val="32"/>
        </w:rPr>
        <w:t>(2)  ทฤษฎี​การ​กำหนด​ตนเอง (Self-Determination Theory: SDT) ของ Deci และ Ryan (1985, 2000) ฉบับ​ปรับปรุง​ล่าสุด​ใน Ryan และ Deci (2017) ที่​อธิบาย​ว่า​มนุษย์​มี​ความต้องการ​พื้นฐาน​ทางจิตวิทยา 3 ประการ ได้แก่ Autonomy, Competence, และ Relatedness</w:t>
      </w:r>
    </w:p>
    <w:p>
      <w:pPr>
        <w:spacing w:after="0" w:line="276" w:lineRule="auto"/>
        <w:ind w:left="567" w:hanging="454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 w:val="0"/>
          <w:sz w:val="32"/>
          <w:lang w:val="th-TH" w:bidi="th-TH" w:eastAsia="th-TH"/>
          <w:szCs w:val="32"/>
        </w:rPr>
        <w:t>(3)  การเรียนรู้​ผ่าน​เกม​ดิจิทัล (Digital Game-Based Learning: DGBL) ของ Prensky (2001) และ​กรอบ 4 องค์ประกอบ​ของ Plass, Homer และ Kinzer (2015) — Cognitive, Motivational, Affective, Sociocultural</w:t>
      </w:r>
    </w:p>
    <w:p>
      <w:pPr>
        <w:spacing w:after="0" w:line="276" w:lineRule="auto"/>
        <w:ind w:left="567" w:hanging="454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 w:val="0"/>
          <w:sz w:val="32"/>
          <w:lang w:val="th-TH" w:bidi="th-TH" w:eastAsia="th-TH"/>
          <w:szCs w:val="32"/>
        </w:rPr>
        <w:t>(4)  ทฤษฎี​การเปลี่ยนแปลง​มโนทัศน์ (Conceptual Change) ของ Posner, Strike, Hewson และ Gertzog (1982) ที่​เสนอ​เงื่อนไข 4 ประการ​ใน​การ​เปลี่ยน​มโนทัศน์: Dissatisfaction, Intelligibility, Plausibility, Fruitfulness</w:t>
      </w:r>
    </w:p>
    <w:p>
      <w:pPr>
        <w:spacing w:after="0" w:line="276" w:lineRule="auto"/>
        <w:ind w:firstLine="720"/>
        <w:jc w:val="left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 w:val="0"/>
          <w:sz w:val="32"/>
          <w:lang w:val="th-TH" w:bidi="th-TH" w:eastAsia="th-TH"/>
          <w:szCs w:val="32"/>
        </w:rPr>
        <w:t>การ​บูรณาการ​ทั้ง 4 แนวคิด​เข้าด้วยกัน นำไปสู่​การ​สังเคราะห์ "รูปแบบ​การ​จัด​การเรียนรู้​แบบ 4-องก์" (Four-Act Learning Model) ที่​ผู้วิจัย​พัฒนา​ขึ้น โดย​อิง​โครงสร้าง​ดราม่า​ของ Aristotle (Beginning–Middle–End) ขยาย​เป็น 4 องก์​ตาม​แนวคิด​ของ Freytag (1863/1900) และ​ต่อ​ยอดจาก PCaRD model ของ Foster และ Shah (2015) ประกอบด้วย องก์​ที่ 1 Mission Brief (เปิด​ภารกิจ · ตอบสนอง Autonomy) องก์​ที่ 2 Lab Build (ปฏิบัติ-จำลอง · ตอบสนอง Competence) องก์​ที่ 3 Boss Fight (ประยุกต์ · ตอบสนอง Competence + Relatedness) และ​องก์​ที่ 4 Reflection (สะท้อน​คิด · ตอบสนอง Metacognition; Vosniadou, 2013)</w:t>
      </w:r>
    </w:p>
    <w:p>
      <w:pPr>
        <w:spacing w:after="0" w:line="276" w:lineRule="auto"/>
        <w:ind w:firstLine="720"/>
        <w:jc w:val="left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 w:val="0"/>
          <w:sz w:val="32"/>
          <w:lang w:val="th-TH" w:bidi="th-TH" w:eastAsia="th-TH"/>
          <w:szCs w:val="32"/>
        </w:rPr>
        <w:t>ผู้วิจัย​จึง​ได้​ดำเนิน​การวิจัย​เรื่อง​นี้​โดย​ใช้​รูปแบบ​การ​วิจัยและพัฒนา (Research and Development: R&amp;D) ของ​กรมวิชาการ (2545) ซึ่ง​ดัดแปลง​จาก Borg และ Gall (1989) และ ADDIE Model (Branch, 2009) เพื่อ​พัฒนา​ชุด​บทเรียน​ให้​มี​คุณภาพ​ตาม​เกณฑ์​ประสิทธิภาพ 80/80 (ชัย​ยงค์ พรหม​วงศ์, 2556) และ​ศึกษา​ผล​ที่เกิด​ต่อ (1) มโนทัศน์​ทางวิทยาศาสตร์ (วัด​ด้วย​แบบทดสอบ two-tier diagnostic ของ Caleon &amp; Subramaniam, 2010) (2) แรงจูงใจ​ใน​การเรียนรู้ (วัด​ด้วย Intrinsic Motivation Inventory; McAuley, Duncan, &amp; Tammen, 1989) และ (3) ความพึงพอใจ​ของ​ผู้เรียน (วัด​ด้วย Likert scale; Likert, 1932)</w:t>
      </w:r>
    </w:p>
    <w:p>
      <w:pPr>
        <w:spacing w:before="240" w:after="120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/>
          <w:sz w:val="36"/>
          <w:lang w:val="th-TH" w:bidi="th-TH" w:eastAsia="th-TH"/>
          <w:szCs w:val="36"/>
        </w:rPr>
        <w:t>1.2 คำถาม​วิจัย</w:t>
      </w:r>
    </w:p>
    <w:p>
      <w:pPr>
        <w:spacing w:after="0" w:line="276" w:lineRule="auto"/>
        <w:ind w:firstLine="720"/>
        <w:jc w:val="left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 w:val="0"/>
          <w:sz w:val="32"/>
          <w:lang w:val="th-TH" w:bidi="th-TH" w:eastAsia="th-TH"/>
          <w:szCs w:val="32"/>
        </w:rPr>
        <w:t>การวิจัย​นี้​มุ่ง​ตอบคำถาม​วิจัย 4 ข้อ ดังนี้</w:t>
      </w:r>
    </w:p>
    <w:p>
      <w:pPr>
        <w:spacing w:after="0" w:line="276" w:lineRule="auto"/>
        <w:ind w:left="567" w:hanging="454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 w:val="0"/>
          <w:sz w:val="32"/>
          <w:lang w:val="th-TH" w:bidi="th-TH" w:eastAsia="th-TH"/>
          <w:szCs w:val="32"/>
        </w:rPr>
        <w:t>1)  ชุด​บทเรียน​เกม​ดิจิทัล​แบบ 4-องก์ เรื่อง ดาราศาสตร์ ที่​พัฒนา​ขึ้น มี​คุณภาพ​และ​ประสิทธิภาพ​ตาม​เกณฑ์ 80/80 (ชัย​ยงค์ พรหม​วงศ์, 2556) หรือไม่</w:t>
      </w:r>
    </w:p>
    <w:p>
      <w:pPr>
        <w:spacing w:after="0" w:line="276" w:lineRule="auto"/>
        <w:ind w:left="567" w:hanging="454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 w:val="0"/>
          <w:sz w:val="32"/>
          <w:lang w:val="th-TH" w:bidi="th-TH" w:eastAsia="th-TH"/>
          <w:szCs w:val="32"/>
        </w:rPr>
        <w:t>2)  มโนทัศน์​ทางวิทยาศาสตร์​เรื่อง​ดาราศาสตร์​ของ​นักเรียน​ชั้นมัธยมศึกษา​ปี​ที่ 5 หลัง​เรียน​ด้วย​ชุด​บทเรียน​เกม​ดิจิทัล​แบบ 4-องก์ สูง​กว่า​ก่อน​เรียน​หรือไม่</w:t>
      </w:r>
    </w:p>
    <w:p>
      <w:pPr>
        <w:spacing w:after="0" w:line="276" w:lineRule="auto"/>
        <w:ind w:left="567" w:hanging="454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 w:val="0"/>
          <w:sz w:val="32"/>
          <w:lang w:val="th-TH" w:bidi="th-TH" w:eastAsia="th-TH"/>
          <w:szCs w:val="32"/>
        </w:rPr>
        <w:t>3)  แรงจูงใจ​ใน​การเรียนรู้​ของ​นักเรียน​ชั้นมัธยมศึกษา​ปี​ที่ 5 หลัง​เรียน​ด้วย​ชุด​บทเรียน​เกม​ดิจิทัล​แบบ 4-องก์ อยู่​ใน​ระดับ​ใด เมื่อ​พิจารณา​ตาม​กรอบ​ทฤษฎี​การ​กำหนด​ตนเอง 3 องค์ประกอบ (Deci &amp; Ryan, 2000)</w:t>
      </w:r>
    </w:p>
    <w:p>
      <w:pPr>
        <w:spacing w:after="0" w:line="276" w:lineRule="auto"/>
        <w:ind w:left="567" w:hanging="454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 w:val="0"/>
          <w:sz w:val="32"/>
          <w:lang w:val="th-TH" w:bidi="th-TH" w:eastAsia="th-TH"/>
          <w:szCs w:val="32"/>
        </w:rPr>
        <w:t>4)  นักเรียน​ชั้นมัธยมศึกษา​ปี​ที่ 5 มี​ความพึงพอใจ​ต่อ​ชุด​บทเรียน​เกม​ดิจิทัล​แบบ 4-องก์ อยู่​ใน​ระดับ​ใด</w:t>
      </w:r>
    </w:p>
    <w:p>
      <w:pPr>
        <w:spacing w:before="240" w:after="120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/>
          <w:sz w:val="36"/>
          <w:lang w:val="th-TH" w:bidi="th-TH" w:eastAsia="th-TH"/>
          <w:szCs w:val="36"/>
        </w:rPr>
        <w:t>1.3 วัตถุประสงค์​ของ​การวิจัย</w:t>
      </w:r>
    </w:p>
    <w:p>
      <w:pPr>
        <w:spacing w:after="0" w:line="276" w:lineRule="auto"/>
        <w:ind w:firstLine="720"/>
        <w:jc w:val="left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 w:val="0"/>
          <w:sz w:val="32"/>
          <w:lang w:val="th-TH" w:bidi="th-TH" w:eastAsia="th-TH"/>
          <w:szCs w:val="32"/>
        </w:rPr>
        <w:t>การวิจัย​นี้​มี​วัตถุประสงค์​เพื่อ</w:t>
      </w:r>
    </w:p>
    <w:p>
      <w:pPr>
        <w:spacing w:after="0" w:line="276" w:lineRule="auto"/>
        <w:ind w:left="567" w:hanging="454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 w:val="0"/>
          <w:sz w:val="32"/>
          <w:lang w:val="th-TH" w:bidi="th-TH" w:eastAsia="th-TH"/>
          <w:szCs w:val="32"/>
        </w:rPr>
        <w:t>1)  พัฒนา​และ​หา​ประสิทธิภาพ​ของ​ชุด​บทเรียน​เกม​ดิจิทัล​แบบ 4-องก์ เรื่อง ดาราศาสตร์ ตาม​แนวคิด​การเรียนรู้​เชิงรุก (Bonwell &amp; Eison, 1991) ร่วมกับ​ทฤษฎี​การ​กำหนด​ตนเอง (Deci &amp; Ryan, 2000) สำหรับ​นักเรียน​ชั้นมัธยมศึกษา​ปี​ที่ 5 ให้​มีประสิทธิภาพ​ตาม​เกณฑ์ 80/80 (ชัย​ยงค์ พรหม​วงศ์, 2556)</w:t>
      </w:r>
    </w:p>
    <w:p>
      <w:pPr>
        <w:spacing w:after="0" w:line="276" w:lineRule="auto"/>
        <w:ind w:left="567" w:hanging="454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 w:val="0"/>
          <w:sz w:val="32"/>
          <w:lang w:val="th-TH" w:bidi="th-TH" w:eastAsia="th-TH"/>
          <w:szCs w:val="32"/>
        </w:rPr>
        <w:t>2)  เปรียบเทียบ​มโนทัศน์​ทางวิทยาศาสตร์​เรื่อง​ดาราศาสตร์​ของ​นักเรียน​ชั้นมัธยมศึกษา​ปี​ที่ 5 ก่อน​และ​หลัง​เรียน​ด้วย​ชุด​บทเรียน​ที่​พัฒนา​ขึ้น ด้วย​แบบทดสอบ two-tier diagnostic (Caleon &amp; Subramaniam, 2010)</w:t>
      </w:r>
    </w:p>
    <w:p>
      <w:pPr>
        <w:spacing w:after="0" w:line="276" w:lineRule="auto"/>
        <w:ind w:left="567" w:hanging="454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 w:val="0"/>
          <w:sz w:val="32"/>
          <w:lang w:val="th-TH" w:bidi="th-TH" w:eastAsia="th-TH"/>
          <w:szCs w:val="32"/>
        </w:rPr>
        <w:t>3)  ศึกษา​แรงจูงใจ​ใน​การเรียนรู้​ของ​นักเรียน​ชั้นมัธยมศึกษา​ปี​ที่ 5 หลัง​เรียน​ด้วย​ชุด​บทเรียน​ที่​พัฒนา​ขึ้น ตาม​กรอบ SDT 3 มิติ — Autonomy, Competence, Relatedness (Ryan &amp; Deci, 2017)</w:t>
      </w:r>
    </w:p>
    <w:p>
      <w:pPr>
        <w:spacing w:after="0" w:line="276" w:lineRule="auto"/>
        <w:ind w:left="567" w:hanging="454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 w:val="0"/>
          <w:sz w:val="32"/>
          <w:lang w:val="th-TH" w:bidi="th-TH" w:eastAsia="th-TH"/>
          <w:szCs w:val="32"/>
        </w:rPr>
        <w:t>4)  ศึกษา​ความพึงพอใจ​ของ​นักเรียน​ชั้นมัธยมศึกษา​ปี​ที่ 5 ที่​มี​ต่อ​ชุด​บทเรียน​ที่​พัฒนา​ขึ้น ใน 4 ด้าน (เนื้อหา · กิจกรรม · สื่อ · การ​วัด​ประเมินผล)</w:t>
      </w:r>
    </w:p>
    <w:p>
      <w:pPr>
        <w:spacing w:before="240" w:after="120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/>
          <w:sz w:val="36"/>
          <w:lang w:val="th-TH" w:bidi="th-TH" w:eastAsia="th-TH"/>
          <w:szCs w:val="36"/>
        </w:rPr>
        <w:t>1.4 สมมติฐาน​การวิจัย</w:t>
      </w:r>
    </w:p>
    <w:p>
      <w:pPr>
        <w:spacing w:after="0" w:line="276" w:lineRule="auto"/>
        <w:ind w:left="567" w:hanging="454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 w:val="0"/>
          <w:sz w:val="32"/>
          <w:lang w:val="th-TH" w:bidi="th-TH" w:eastAsia="th-TH"/>
          <w:szCs w:val="32"/>
        </w:rPr>
        <w:t>H1:  ชุด​บทเรียน​เกม​ดิจิทัล​แบบ 4-องก์ เรื่อง ดาราศาสตร์ ที่​พัฒนา​ขึ้น มีประสิทธิภาพ​ไม่​ต่ำกว่า​เกณฑ์ 80/80 (ชัย​ยงค์ พรหม​วงศ์, 2556)</w:t>
      </w:r>
    </w:p>
    <w:p>
      <w:pPr>
        <w:spacing w:after="0" w:line="276" w:lineRule="auto"/>
        <w:ind w:left="567" w:hanging="454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 w:val="0"/>
          <w:sz w:val="32"/>
          <w:lang w:val="th-TH" w:bidi="th-TH" w:eastAsia="th-TH"/>
          <w:szCs w:val="32"/>
        </w:rPr>
        <w:t>H2:  นักเรียน​ชั้นมัธยมศึกษา​ปี​ที่ 5 ที่​เรียน​ด้วย​ชุด​บทเรียน​ที่​พัฒนา​ขึ้น มี​คะแนน​มโนทัศน์​ทางวิทยาศาสตร์​เรื่อง​ดาราศาสตร์​หลัง​เรียน​สูง​กว่า​ก่อน​เรียน อย่าง​มี​นัยสำคัญ​ทาง​สถิติ​ที่​ระดับ .05 (Paired t-test; Field, 2018) และ​มี Hake's normalized gain ≥ 0.30 (Hake, 1998)</w:t>
      </w:r>
    </w:p>
    <w:p>
      <w:pPr>
        <w:spacing w:after="0" w:line="276" w:lineRule="auto"/>
        <w:ind w:left="567" w:hanging="454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 w:val="0"/>
          <w:sz w:val="32"/>
          <w:lang w:val="th-TH" w:bidi="th-TH" w:eastAsia="th-TH"/>
          <w:szCs w:val="32"/>
        </w:rPr>
        <w:t>H3:  นักเรียน​ชั้นมัธยมศึกษา​ปี​ที่ 5 หลัง​เรียน​ด้วย​ชุด​บทเรียน​ที่​พัฒนา​ขึ้น มี​แรงจูงใจ​ใน​การเรียนรู้​ทั้ง​โดยรวม​และ​ราย​ด้าน (Autonomy, Competence, Relatedness) อยู่​ใน​ระดับ​มาก​ขึ้นไป (ค่าเฉลี่ย ≥ 3.51 จาก 5; บุญ​ชม ศรี​สะอาด, 2553)</w:t>
      </w:r>
    </w:p>
    <w:p>
      <w:pPr>
        <w:spacing w:after="0" w:line="276" w:lineRule="auto"/>
        <w:ind w:left="567" w:hanging="454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 w:val="0"/>
          <w:sz w:val="32"/>
          <w:lang w:val="th-TH" w:bidi="th-TH" w:eastAsia="th-TH"/>
          <w:szCs w:val="32"/>
        </w:rPr>
        <w:t>H4:  นักเรียน​ชั้นมัธยมศึกษา​ปี​ที่ 5 มี​ความพึงพอใจ​ต่อ​ชุด​บทเรียน​ที่​พัฒนา​ขึ้น ทั้ง​โดยรวม​และ​ราย​ด้าน อยู่​ใน​ระดับ​มาก​ขึ้นไป (ค่าเฉลี่ย ≥ 3.51 จาก 5)</w:t>
      </w:r>
    </w:p>
    <w:p>
      <w:pPr>
        <w:spacing w:before="240" w:after="120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/>
          <w:sz w:val="36"/>
          <w:lang w:val="th-TH" w:bidi="th-TH" w:eastAsia="th-TH"/>
          <w:szCs w:val="36"/>
        </w:rPr>
        <w:t>1.5 ขอบเขต​ของ​การวิจัย</w:t>
      </w:r>
    </w:p>
    <w:p>
      <w:pPr>
        <w:spacing w:before="160" w:after="80"/>
        <w:ind w:left="283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/>
          <w:sz w:val="34"/>
          <w:lang w:val="th-TH" w:bidi="th-TH" w:eastAsia="th-TH"/>
          <w:szCs w:val="34"/>
        </w:rPr>
        <w:t>1.5.1 ขอบเขต​ด้าน​ประชากร​และ​กลุ่มตัวอย่าง</w:t>
      </w:r>
    </w:p>
    <w:p>
      <w:pPr>
        <w:spacing w:after="0" w:line="276" w:lineRule="auto"/>
        <w:ind w:firstLine="720"/>
        <w:jc w:val="left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 w:val="0"/>
          <w:sz w:val="32"/>
          <w:lang w:val="th-TH" w:bidi="th-TH" w:eastAsia="th-TH"/>
          <w:szCs w:val="32"/>
        </w:rPr>
        <w:t>ประชากร  ได้แก่ นักเรียน​ชั้นมัธยมศึกษา​ปี​ที่ 5 โรงเรียนสตรี​วิทยา ปีการศึกษา 2569 ภาคเรียน​ที่ 1 รวม​ทั้งสิ้น 12 ห้องเรียน</w:t>
      </w:r>
    </w:p>
    <w:p>
      <w:pPr>
        <w:spacing w:after="0" w:line="276" w:lineRule="auto"/>
        <w:ind w:firstLine="720"/>
        <w:jc w:val="left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 w:val="0"/>
          <w:sz w:val="32"/>
          <w:lang w:val="th-TH" w:bidi="th-TH" w:eastAsia="th-TH"/>
          <w:szCs w:val="32"/>
        </w:rPr>
        <w:t>กลุ่มตัวอย่าง  ได้แก่ นักเรียน​ชั้นมัธยมศึกษา​ปี​ที่ 5 จำนวน 3 ห้องเรียน รวม​ทั้งสิ้น 90 คน (ห้อง​ละ 30 คน) ได้มา​ด้วย​การ​สุ่ม​แบบ​กลุ่ม (Cluster Random Sampling; Cochran, 1977; Krejcie &amp; Morgan, 1970) โดย​ใช้​ห้องเรียน​เป็น​หน่วย​สุ่ม</w:t>
      </w:r>
    </w:p>
    <w:p>
      <w:pPr>
        <w:spacing w:before="160" w:after="80"/>
        <w:ind w:left="283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/>
          <w:sz w:val="34"/>
          <w:lang w:val="th-TH" w:bidi="th-TH" w:eastAsia="th-TH"/>
          <w:szCs w:val="34"/>
        </w:rPr>
        <w:t>1.5.2 ขอบเขต​ด้าน​เนื้อหา</w:t>
      </w:r>
    </w:p>
    <w:p>
      <w:pPr>
        <w:spacing w:after="0" w:line="276" w:lineRule="auto"/>
        <w:ind w:firstLine="720"/>
        <w:jc w:val="left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 w:val="0"/>
          <w:sz w:val="32"/>
          <w:lang w:val="th-TH" w:bidi="th-TH" w:eastAsia="th-TH"/>
          <w:szCs w:val="32"/>
        </w:rPr>
        <w:t>เนื้อหา​รายวิชา ว 30105 วิทยาศาสตร์​พื้นฐาน 5 (โลก​และ​อวกาศ) สาระ​ที่ 3 วิทยาศาสตร์​โลก​และ​อวกาศ ตาม​หลักสูตร​แกนกลาง​การศึกษา​ขั้นพื้นฐาน พุทธศักราช 2551 (ฉบับ​ปรับปรุง พ.ศ. 2560) (กระทรวงศึกษาธิการ, 2560) และ​คู่มือ​ครู​ของ สส​วท. (2562) ครอบคลุม 8 หน่วย​ย่อย ดัง​ตาราง​ที่ 1.1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TH Sarabun New" w:hAnsi="TH Sarabun New" w:cs="TH Sarabun New" w:eastAsia="TH Sarabun New"/>
                <w:b/>
                <w:sz w:val="30"/>
                <w:lang w:val="th-TH" w:bidi="th-TH" w:eastAsia="th-TH"/>
                <w:szCs w:val="30"/>
              </w:rPr>
              <w:t>EP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/>
            <w:r>
              <w:rPr>
                <w:rFonts w:ascii="TH Sarabun New" w:hAnsi="TH Sarabun New" w:cs="TH Sarabun New" w:eastAsia="TH Sarabun New"/>
                <w:b/>
                <w:sz w:val="30"/>
                <w:lang w:val="th-TH" w:bidi="th-TH" w:eastAsia="th-TH"/>
                <w:szCs w:val="30"/>
              </w:rPr>
              <w:t>หน่วย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rFonts w:ascii="TH Sarabun New" w:hAnsi="TH Sarabun New" w:cs="TH Sarabun New" w:eastAsia="TH Sarabun New"/>
                <w:b/>
                <w:sz w:val="30"/>
                <w:lang w:val="th-TH" w:bidi="th-TH" w:eastAsia="th-TH"/>
                <w:szCs w:val="30"/>
              </w:rPr>
              <w:t>ตัว​ชี้​วัด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rFonts w:ascii="TH Sarabun New" w:hAnsi="TH Sarabun New" w:cs="TH Sarabun New" w:eastAsia="TH Sarabun New"/>
                <w:b/>
                <w:sz w:val="30"/>
                <w:lang w:val="th-TH" w:bidi="th-TH" w:eastAsia="th-TH"/>
                <w:szCs w:val="30"/>
              </w:rPr>
              <w:t>Boss/Climax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TH Sarabun New" w:hAnsi="TH Sarabun New" w:cs="TH Sarabun New" w:eastAsia="TH Sarabun New"/>
                <w:b w:val="0"/>
                <w:sz w:val="30"/>
                <w:lang w:val="th-TH" w:bidi="th-TH" w:eastAsia="th-TH"/>
                <w:szCs w:val="30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sz w:val="30"/>
                <w:lang w:val="th-TH" w:bidi="th-TH" w:eastAsia="th-TH"/>
                <w:szCs w:val="30"/>
              </w:rPr>
              <w:t>กำเนิด​เอกภพ (Big Bang)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sz w:val="30"/>
                <w:lang w:val="th-TH" w:bidi="th-TH" w:eastAsia="th-TH"/>
                <w:szCs w:val="30"/>
              </w:rPr>
              <w:t>ว 3.1 ม.5/1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sz w:val="30"/>
                <w:lang w:val="th-TH" w:bidi="th-TH" w:eastAsia="th-TH"/>
                <w:szCs w:val="30"/>
              </w:rPr>
              <w:t>—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TH Sarabun New" w:hAnsi="TH Sarabun New" w:cs="TH Sarabun New" w:eastAsia="TH Sarabun New"/>
                <w:b w:val="0"/>
                <w:sz w:val="30"/>
                <w:lang w:val="th-TH" w:bidi="th-TH" w:eastAsia="th-TH"/>
                <w:szCs w:val="30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sz w:val="30"/>
                <w:lang w:val="th-TH" w:bidi="th-TH" w:eastAsia="th-TH"/>
                <w:szCs w:val="30"/>
              </w:rPr>
              <w:t>กาแล็กซี​และ​ทางช้างเผือก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sz w:val="30"/>
                <w:lang w:val="th-TH" w:bidi="th-TH" w:eastAsia="th-TH"/>
                <w:szCs w:val="30"/>
              </w:rPr>
              <w:t>ว 3.1 ม.5/2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sz w:val="30"/>
                <w:lang w:val="th-TH" w:bidi="th-TH" w:eastAsia="th-TH"/>
                <w:szCs w:val="30"/>
              </w:rPr>
              <w:t>VOID 3-phase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TH Sarabun New" w:hAnsi="TH Sarabun New" w:cs="TH Sarabun New" w:eastAsia="TH Sarabun New"/>
                <w:b w:val="0"/>
                <w:sz w:val="30"/>
                <w:lang w:val="th-TH" w:bidi="th-TH" w:eastAsia="th-TH"/>
                <w:szCs w:val="30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sz w:val="30"/>
                <w:lang w:val="th-TH" w:bidi="th-TH" w:eastAsia="th-TH"/>
                <w:szCs w:val="30"/>
              </w:rPr>
              <w:t>พา​แร​ลแลกซ์ + บันได​ระยะทาง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sz w:val="30"/>
                <w:lang w:val="th-TH" w:bidi="th-TH" w:eastAsia="th-TH"/>
                <w:szCs w:val="30"/>
              </w:rPr>
              <w:t>ว 3.1 ม.5/3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sz w:val="30"/>
                <w:lang w:val="th-TH" w:bidi="th-TH" w:eastAsia="th-TH"/>
                <w:szCs w:val="30"/>
              </w:rPr>
              <w:t>WARP RUN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TH Sarabun New" w:hAnsi="TH Sarabun New" w:cs="TH Sarabun New" w:eastAsia="TH Sarabun New"/>
                <w:b w:val="0"/>
                <w:sz w:val="30"/>
                <w:lang w:val="th-TH" w:bidi="th-TH" w:eastAsia="th-TH"/>
                <w:szCs w:val="30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sz w:val="30"/>
                <w:lang w:val="th-TH" w:bidi="th-TH" w:eastAsia="th-TH"/>
                <w:szCs w:val="30"/>
              </w:rPr>
              <w:t>วิวัฒนาการ​ดาว + HR diagram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sz w:val="30"/>
                <w:lang w:val="th-TH" w:bidi="th-TH" w:eastAsia="th-TH"/>
                <w:szCs w:val="30"/>
              </w:rPr>
              <w:t>ว 3.1 ม.5/4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sz w:val="30"/>
                <w:lang w:val="th-TH" w:bidi="th-TH" w:eastAsia="th-TH"/>
                <w:szCs w:val="30"/>
              </w:rPr>
              <w:t>GRAVITY ASCENT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TH Sarabun New" w:hAnsi="TH Sarabun New" w:cs="TH Sarabun New" w:eastAsia="TH Sarabun New"/>
                <w:b w:val="0"/>
                <w:sz w:val="30"/>
                <w:lang w:val="th-TH" w:bidi="th-TH" w:eastAsia="th-TH"/>
                <w:szCs w:val="30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sz w:val="30"/>
                <w:lang w:val="th-TH" w:bidi="th-TH" w:eastAsia="th-TH"/>
                <w:szCs w:val="30"/>
              </w:rPr>
              <w:t>ดวงอาทิตย์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sz w:val="30"/>
                <w:lang w:val="th-TH" w:bidi="th-TH" w:eastAsia="th-TH"/>
                <w:szCs w:val="30"/>
              </w:rPr>
              <w:t>ว 3.1 ม.5/5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sz w:val="30"/>
                <w:lang w:val="th-TH" w:bidi="th-TH" w:eastAsia="th-TH"/>
                <w:szCs w:val="30"/>
              </w:rPr>
              <w:t>SOLAR STORM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TH Sarabun New" w:hAnsi="TH Sarabun New" w:cs="TH Sarabun New" w:eastAsia="TH Sarabun New"/>
                <w:b w:val="0"/>
                <w:sz w:val="30"/>
                <w:lang w:val="th-TH" w:bidi="th-TH" w:eastAsia="th-TH"/>
                <w:szCs w:val="30"/>
              </w:rPr>
              <w:t>6</w:t>
            </w:r>
          </w:p>
        </w:tc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sz w:val="30"/>
                <w:lang w:val="th-TH" w:bidi="th-TH" w:eastAsia="th-TH"/>
                <w:szCs w:val="30"/>
              </w:rPr>
              <w:t>ระบบสุริยะ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sz w:val="30"/>
                <w:lang w:val="th-TH" w:bidi="th-TH" w:eastAsia="th-TH"/>
                <w:szCs w:val="30"/>
              </w:rPr>
              <w:t>ว 3.1 ม.5/6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sz w:val="30"/>
                <w:lang w:val="th-TH" w:bidi="th-TH" w:eastAsia="th-TH"/>
                <w:szCs w:val="30"/>
              </w:rPr>
              <w:t>VOID ZERO-FIX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TH Sarabun New" w:hAnsi="TH Sarabun New" w:cs="TH Sarabun New" w:eastAsia="TH Sarabun New"/>
                <w:b w:val="0"/>
                <w:sz w:val="30"/>
                <w:lang w:val="th-TH" w:bidi="th-TH" w:eastAsia="th-TH"/>
                <w:szCs w:val="30"/>
              </w:rPr>
              <w:t>7</w:t>
            </w:r>
          </w:p>
        </w:tc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sz w:val="30"/>
                <w:lang w:val="th-TH" w:bidi="th-TH" w:eastAsia="th-TH"/>
                <w:szCs w:val="30"/>
              </w:rPr>
              <w:t>คลื่นแม่เหล็กไฟฟ้า + กล้องโทรทรรศน์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sz w:val="30"/>
                <w:lang w:val="th-TH" w:bidi="th-TH" w:eastAsia="th-TH"/>
                <w:szCs w:val="30"/>
              </w:rPr>
              <w:t>ว 3.1 ม.5/7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sz w:val="30"/>
                <w:lang w:val="th-TH" w:bidi="th-TH" w:eastAsia="th-TH"/>
                <w:szCs w:val="30"/>
              </w:rPr>
              <w:t>CIPHER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TH Sarabun New" w:hAnsi="TH Sarabun New" w:cs="TH Sarabun New" w:eastAsia="TH Sarabun New"/>
                <w:b w:val="0"/>
                <w:sz w:val="30"/>
                <w:lang w:val="th-TH" w:bidi="th-TH" w:eastAsia="th-TH"/>
                <w:szCs w:val="30"/>
              </w:rPr>
              <w:t>8</w:t>
            </w:r>
          </w:p>
        </w:tc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sz w:val="30"/>
                <w:lang w:val="th-TH" w:bidi="th-TH" w:eastAsia="th-TH"/>
                <w:szCs w:val="30"/>
              </w:rPr>
              <w:t>สังเคราะห์ + อนาคต​ของ​จักรวาล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sz w:val="30"/>
                <w:lang w:val="th-TH" w:bidi="th-TH" w:eastAsia="th-TH"/>
                <w:szCs w:val="30"/>
              </w:rPr>
              <w:t>ว 3.1 ม.5/8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sz w:val="30"/>
                <w:lang w:val="th-TH" w:bidi="th-TH" w:eastAsia="th-TH"/>
                <w:szCs w:val="30"/>
              </w:rPr>
              <w:t>GENESIS FORGE</w:t>
            </w:r>
          </w:p>
        </w:tc>
      </w:tr>
    </w:tbl>
    <w:p>
      <w:pPr>
        <w:spacing w:after="0"/>
        <w:rPr>
          <w:lang w:val="th-TH" w:bidi="th-TH" w:eastAsia="th-TH"/>
        </w:rPr>
      </w:pPr>
    </w:p>
    <w:p>
      <w:pPr>
        <w:spacing w:before="160" w:after="80"/>
        <w:ind w:left="283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/>
          <w:sz w:val="34"/>
          <w:lang w:val="th-TH" w:bidi="th-TH" w:eastAsia="th-TH"/>
          <w:szCs w:val="34"/>
        </w:rPr>
        <w:t>1.5.3 ขอบเขต​ด้าน​ตัวแปร</w:t>
      </w:r>
    </w:p>
    <w:p>
      <w:pPr>
        <w:spacing w:after="0" w:line="276" w:lineRule="auto"/>
        <w:ind w:firstLine="720"/>
        <w:jc w:val="left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 w:val="0"/>
          <w:sz w:val="32"/>
          <w:lang w:val="th-TH" w:bidi="th-TH" w:eastAsia="th-TH"/>
          <w:szCs w:val="32"/>
        </w:rPr>
        <w:t>ตัวแปร​ต้น (Independent Variable):</w:t>
      </w:r>
    </w:p>
    <w:p>
      <w:pPr>
        <w:spacing w:after="0" w:line="276" w:lineRule="auto"/>
        <w:ind w:left="567" w:hanging="283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 w:val="0"/>
          <w:sz w:val="32"/>
          <w:lang w:val="th-TH" w:bidi="th-TH" w:eastAsia="th-TH"/>
          <w:szCs w:val="32"/>
        </w:rPr>
        <w:t>•  ชุด​บทเรียน​เกม​ดิจิทัล​แบบ 4-องก์ เรื่อง ดาราศาสตร์ ตาม​แนวคิด​การเรียนรู้​เชิงรุก (Bonwell &amp; Eison, 1991) ร่วมกับ​ทฤษฎี​การ​กำหนด​ตนเอง (Deci &amp; Ryan, 2000)</w:t>
      </w:r>
    </w:p>
    <w:p>
      <w:pPr>
        <w:spacing w:after="0" w:line="276" w:lineRule="auto"/>
        <w:ind w:firstLine="720"/>
        <w:jc w:val="left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 w:val="0"/>
          <w:sz w:val="32"/>
          <w:lang w:val="th-TH" w:bidi="th-TH" w:eastAsia="th-TH"/>
          <w:szCs w:val="32"/>
        </w:rPr>
        <w:t>ตัวแปร​ตาม (Dependent Variables):</w:t>
      </w:r>
    </w:p>
    <w:p>
      <w:pPr>
        <w:spacing w:after="0" w:line="276" w:lineRule="auto"/>
        <w:ind w:left="567" w:hanging="283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 w:val="0"/>
          <w:sz w:val="32"/>
          <w:lang w:val="th-TH" w:bidi="th-TH" w:eastAsia="th-TH"/>
          <w:szCs w:val="32"/>
        </w:rPr>
        <w:t>•  ประสิทธิภาพ​ของ​ชุด​บทเรียน E1/E2 (ชัย​ยงค์ พรหม​วงศ์, 2556)</w:t>
      </w:r>
    </w:p>
    <w:p>
      <w:pPr>
        <w:spacing w:after="0" w:line="276" w:lineRule="auto"/>
        <w:ind w:left="567" w:hanging="283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 w:val="0"/>
          <w:sz w:val="32"/>
          <w:lang w:val="th-TH" w:bidi="th-TH" w:eastAsia="th-TH"/>
          <w:szCs w:val="32"/>
        </w:rPr>
        <w:t>•  มโนทัศน์​ทางวิทยาศาสตร์​เรื่อง​ดาราศาสตร์ วัด​ด้วย FT-01/FT-02 แบบ two-tier diagnostic 20 ข้อ (Caleon &amp; Subramaniam, 2010; Treagust, 1988)</w:t>
      </w:r>
    </w:p>
    <w:p>
      <w:pPr>
        <w:spacing w:after="0" w:line="276" w:lineRule="auto"/>
        <w:ind w:left="567" w:hanging="283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 w:val="0"/>
          <w:sz w:val="32"/>
          <w:lang w:val="th-TH" w:bidi="th-TH" w:eastAsia="th-TH"/>
          <w:szCs w:val="32"/>
        </w:rPr>
        <w:t>•  แรงจูงใจ​ใน​การเรียนรู้​ตาม​กรอบ SDT 3 องค์ประกอบ — Autonomy, Competence, Relatedness — วัด​ด้วย IMI 21 ข้อ (McAuley, Duncan, &amp; Tammen, 1989; Ryan, 1982)</w:t>
      </w:r>
    </w:p>
    <w:p>
      <w:pPr>
        <w:spacing w:after="0" w:line="276" w:lineRule="auto"/>
        <w:ind w:left="567" w:hanging="283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 w:val="0"/>
          <w:sz w:val="32"/>
          <w:lang w:val="th-TH" w:bidi="th-TH" w:eastAsia="th-TH"/>
          <w:szCs w:val="32"/>
        </w:rPr>
        <w:t>•  ความพึงพอใจ​ของ​นักเรียน 4 ด้าน (เนื้อหา · กิจกรรม · สื่อ · การ​วัด​ประเมินผล) จำนวน 20 ข้อ (Likert, 1932)</w:t>
      </w:r>
    </w:p>
    <w:p>
      <w:pPr>
        <w:spacing w:before="160" w:after="80"/>
        <w:ind w:left="283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/>
          <w:sz w:val="34"/>
          <w:lang w:val="th-TH" w:bidi="th-TH" w:eastAsia="th-TH"/>
          <w:szCs w:val="34"/>
        </w:rPr>
        <w:t>1.5.4 ขอบเขต​ด้าน​ระยะเวลา</w:t>
      </w:r>
    </w:p>
    <w:p>
      <w:pPr>
        <w:spacing w:after="0" w:line="276" w:lineRule="auto"/>
        <w:ind w:firstLine="720"/>
        <w:jc w:val="left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 w:val="0"/>
          <w:sz w:val="32"/>
          <w:lang w:val="th-TH" w:bidi="th-TH" w:eastAsia="th-TH"/>
          <w:szCs w:val="32"/>
        </w:rPr>
        <w:t>ภาคเรียน​ที่ 1 ปีการศึกษา 2569 ระหว่าง​เดือน​มิถุนายน ถึง​กันยายน 2569 รวม​ระยะเวลา 16 สัปดาห์ (32 คาบ​เรียน · 2 คาบ/สัปดาห์)</w:t>
      </w:r>
    </w:p>
    <w:p>
      <w:pPr>
        <w:spacing w:before="160" w:after="80"/>
        <w:ind w:left="283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/>
          <w:sz w:val="34"/>
          <w:lang w:val="th-TH" w:bidi="th-TH" w:eastAsia="th-TH"/>
          <w:szCs w:val="34"/>
        </w:rPr>
        <w:t>1.5.5 ขอบเขต​ด้าน​สถานที่</w:t>
      </w:r>
    </w:p>
    <w:p>
      <w:pPr>
        <w:spacing w:after="0" w:line="276" w:lineRule="auto"/>
        <w:ind w:firstLine="720"/>
        <w:jc w:val="left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 w:val="0"/>
          <w:sz w:val="32"/>
          <w:lang w:val="th-TH" w:bidi="th-TH" w:eastAsia="th-TH"/>
          <w:szCs w:val="32"/>
        </w:rPr>
        <w:t>โรงเรียนสตรี​วิทยา ห้องเรียน​ปกติ​ที่​มี​อินเทอร์เน็ต​และ​อุปกรณ์​คอมพิวเตอร์​ส่วนตัว (BYOD: Bring Your Own Device) หรือ​คอมพิวเตอร์​ของ​โรงเรียน</w:t>
      </w:r>
    </w:p>
    <w:p>
      <w:pPr>
        <w:spacing w:before="240" w:after="120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/>
          <w:sz w:val="36"/>
          <w:lang w:val="th-TH" w:bidi="th-TH" w:eastAsia="th-TH"/>
          <w:szCs w:val="36"/>
        </w:rPr>
        <w:t>1.6 นิยาม​ศัพท์เฉพาะ</w:t>
      </w:r>
    </w:p>
    <w:p>
      <w:pPr>
        <w:spacing w:before="160" w:after="80"/>
        <w:ind w:left="283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/>
          <w:sz w:val="34"/>
          <w:lang w:val="th-TH" w:bidi="th-TH" w:eastAsia="th-TH"/>
          <w:szCs w:val="34"/>
        </w:rPr>
        <w:t>1.6.1 ชุด​บทเรียน​เกม​ดิจิทัล​แบบ 4-องก์ เรื่อง ดาราศาสตร์</w:t>
      </w:r>
    </w:p>
    <w:p>
      <w:pPr>
        <w:spacing w:after="0" w:line="276" w:lineRule="auto"/>
        <w:ind w:firstLine="720"/>
        <w:jc w:val="left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 w:val="0"/>
          <w:sz w:val="32"/>
          <w:lang w:val="th-TH" w:bidi="th-TH" w:eastAsia="th-TH"/>
          <w:szCs w:val="32"/>
        </w:rPr>
        <w:t>หมายถึง สื่อ​การเรียนรู้​ดิจิทัล​แบบ Web-based ที่​ผู้วิจัย​พัฒนา​ขึ้น​ภายใต้​ชื่อ "COSMOS LOG" สำหรับ​รายวิชา ว 30105 ระดับ​ชั้นมัธยมศึกษา​ปี​ที่ 5 ประกอบด้วย​บทเรียน 8 ตอน (EP01–EP08) ครอบคลุม​เนื้อหา​ดาราศาสตร์​ทั้ง​รายวิชา ผ่าน​แพลตฟอร์ม KP-Classroom ที่​ผู้วิจัย​พัฒนา​ขึ้น โดย​อ้างอิง​แนวคิด Digital Game-Based Learning ของ Prensky (2001) Gee (2003) และ Plass, Homer และ Kinzer (2015)</w:t>
      </w:r>
    </w:p>
    <w:p>
      <w:pPr>
        <w:spacing w:before="160" w:after="80"/>
        <w:ind w:left="283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/>
          <w:sz w:val="34"/>
          <w:lang w:val="th-TH" w:bidi="th-TH" w:eastAsia="th-TH"/>
          <w:szCs w:val="34"/>
        </w:rPr>
        <w:t>1.6.2 การเรียนรู้​เชิงรุก (Active Learning)</w:t>
      </w:r>
    </w:p>
    <w:p>
      <w:pPr>
        <w:spacing w:after="0" w:line="276" w:lineRule="auto"/>
        <w:ind w:firstLine="720"/>
        <w:jc w:val="left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 w:val="0"/>
          <w:sz w:val="32"/>
          <w:lang w:val="th-TH" w:bidi="th-TH" w:eastAsia="th-TH"/>
          <w:szCs w:val="32"/>
        </w:rPr>
        <w:t>หมายถึง การ​จัด​การเรียนรู้​ที่​ผู้เรียน​มีบทบาท​ใน​การ​ลงมือ​ปฏิบัติ คิด​วิเคราะห์ อภิปราย และ​สะท้อน​คิด​ใน​ระหว่าง​การเรียน ตาม​แนวคิด​ของ Bonwell และ Eison (1991) ซึ่ง Prince (2004) และ Freeman และ​คณะ (2014) ได้​ยืนยัน​ประสิทธิผล​ผ่าน meta-analysis ใน​งานวิจัย​นี้​แสดงออก​ผ่าน​การ​คลิก ลาก จำลอง คำนวณ และ​สะท้อน​คิด​ผ่าน Journal 3-2-1 ใน​แต่ละ​องก์​ของ COSMOS LOG</w:t>
      </w:r>
    </w:p>
    <w:p>
      <w:pPr>
        <w:spacing w:before="160" w:after="80"/>
        <w:ind w:left="283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/>
          <w:sz w:val="34"/>
          <w:lang w:val="th-TH" w:bidi="th-TH" w:eastAsia="th-TH"/>
          <w:szCs w:val="34"/>
        </w:rPr>
        <w:t>1.6.3 ทฤษฎี​การ​กำหนด​ตนเอง (Self-Determination Theory: SDT)</w:t>
      </w:r>
    </w:p>
    <w:p>
      <w:pPr>
        <w:spacing w:after="0" w:line="276" w:lineRule="auto"/>
        <w:ind w:firstLine="720"/>
        <w:jc w:val="left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 w:val="0"/>
          <w:sz w:val="32"/>
          <w:lang w:val="th-TH" w:bidi="th-TH" w:eastAsia="th-TH"/>
          <w:szCs w:val="32"/>
        </w:rPr>
        <w:t>หมายถึง ทฤษฎี​ของ Deci และ Ryan (1985, 2000) ฉบับ​ปรับปรุง​ล่าสุด​ใน Ryan และ Deci (2017) ที่​อธิบาย​ว่า​มนุษย์​มี​ความต้องการ​พื้นฐาน​ทางจิตวิทยา 3 ประการ ได้แก่ ความเป็นอิสระ (Autonomy) ความสามารถ (Competence) และ​ความสัมพันธ์ (Relatedness) เมื่อ​ความต้องการ​ทั้ง​สาม​ได้รับ​การ​ตอบสนอง จะ​เกิด​แรงจูงใจ​ภายใน​และ​ความผูกพัน​ต่อ​การเรียนรู้</w:t>
      </w:r>
    </w:p>
    <w:p>
      <w:pPr>
        <w:spacing w:before="160" w:after="80"/>
        <w:ind w:left="283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/>
          <w:sz w:val="34"/>
          <w:lang w:val="th-TH" w:bidi="th-TH" w:eastAsia="th-TH"/>
          <w:szCs w:val="34"/>
        </w:rPr>
        <w:t>1.6.4 มโนทัศน์​ทางวิทยาศาสตร์ (Scientific Conception)</w:t>
      </w:r>
    </w:p>
    <w:p>
      <w:pPr>
        <w:spacing w:after="0" w:line="276" w:lineRule="auto"/>
        <w:ind w:firstLine="720"/>
        <w:jc w:val="left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 w:val="0"/>
          <w:sz w:val="32"/>
          <w:lang w:val="th-TH" w:bidi="th-TH" w:eastAsia="th-TH"/>
          <w:szCs w:val="32"/>
        </w:rPr>
        <w:t>หมายถึง ความเข้าใจ​ของ​นักเรียน​เกี่ยวกับ​เนื้อหา​ดาราศาสตร์​ตามตัว​ชี้​วัด​ใน​รายวิชา ว 30105 (กระทรวงศึกษาธิการ, 2560) วัด​ด้วย​แบบทดสอบ​มโนทัศน์ FT-01 (ก่อน​เรียน) และ FT-02 (หลัง​เรียน) แบบ Two-tier with confidence rating ตาม​แนวคิด​ของ Caleon และ Subramaniam (2010) ที่​พัฒนา​ต่อ​ยอดจาก Treagust (1988) จำแนก​ผู้เรียน​เป็น 4 กลุ่ม Sound (S) / Misconception (M) / Lucky guess (LG) / Lack of knowledge (LK) จำนวน 20 ข้อ</w:t>
      </w:r>
    </w:p>
    <w:p>
      <w:pPr>
        <w:spacing w:before="160" w:after="80"/>
        <w:ind w:left="283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/>
          <w:sz w:val="34"/>
          <w:lang w:val="th-TH" w:bidi="th-TH" w:eastAsia="th-TH"/>
          <w:szCs w:val="34"/>
        </w:rPr>
        <w:t>1.6.5 แรงจูงใจ​ใน​การเรียนรู้ (Learning Motivation)</w:t>
      </w:r>
    </w:p>
    <w:p>
      <w:pPr>
        <w:spacing w:after="0" w:line="276" w:lineRule="auto"/>
        <w:ind w:firstLine="720"/>
        <w:jc w:val="left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 w:val="0"/>
          <w:sz w:val="32"/>
          <w:lang w:val="th-TH" w:bidi="th-TH" w:eastAsia="th-TH"/>
          <w:szCs w:val="32"/>
        </w:rPr>
        <w:t>หมายถึง ระดับ​ความปรารถนา​และ​ความตั้งใจ​ของ​นักเรียน​ใน​การเรียนรู้​ราย​วิชาดาราศาสตร์ วัด​ตาม​กรอบ SDT 3 องค์ประกอบ (Deci &amp; Ryan, 2000) ด้วย​แบบสอบถาม Intrinsic Motivation Inventory (IMI) ฉบับ​ปรับ​โดย​ผู้วิจัย จาก​ต้นฉบับ​ของ Ryan (1982) และ McAuley, Duncan และ Tammen (1989) จำนวน 21 ข้อ มาตราส่วน 7 ระดับ (7-point Likert scale; Likert, 1932)</w:t>
      </w:r>
    </w:p>
    <w:p>
      <w:pPr>
        <w:spacing w:before="160" w:after="80"/>
        <w:ind w:left="283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/>
          <w:sz w:val="34"/>
          <w:lang w:val="th-TH" w:bidi="th-TH" w:eastAsia="th-TH"/>
          <w:szCs w:val="34"/>
        </w:rPr>
        <w:t>1.6.6 ความพึงพอใจ (Satisfaction)</w:t>
      </w:r>
    </w:p>
    <w:p>
      <w:pPr>
        <w:spacing w:after="0" w:line="276" w:lineRule="auto"/>
        <w:ind w:firstLine="720"/>
        <w:jc w:val="left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 w:val="0"/>
          <w:sz w:val="32"/>
          <w:lang w:val="th-TH" w:bidi="th-TH" w:eastAsia="th-TH"/>
          <w:szCs w:val="32"/>
        </w:rPr>
        <w:t>หมายถึง ความรู้สึก​ของ​นักเรียน​ที่​มี​ต่อ​การเรียน​ด้วย​ชุด​บทเรียน​เกม​ดิจิทัล​แบบ 4-องก์ ใน 4 ด้าน ได้แก่ เนื้อหา · กิจกรรม · สื่อ · การ​วัด​ประเมินผล ตาม​แนวคิด​ของ Locke (1976) และ Weiss (2002) วัด​ด้วย​แบบสอบถาม​มาตราส่วน​ประมาณค่า 5 ระดับ (Likert, 1932) จำนวน 20 ข้อ</w:t>
      </w:r>
    </w:p>
    <w:p>
      <w:pPr>
        <w:spacing w:before="160" w:after="80"/>
        <w:ind w:left="283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/>
          <w:sz w:val="34"/>
          <w:lang w:val="th-TH" w:bidi="th-TH" w:eastAsia="th-TH"/>
          <w:szCs w:val="34"/>
        </w:rPr>
        <w:t>1.6.7 ประสิทธิภาพ​ของ​ชุด​บทเรียน (E1/E2)</w:t>
      </w:r>
    </w:p>
    <w:p>
      <w:pPr>
        <w:spacing w:after="0" w:line="276" w:lineRule="auto"/>
        <w:ind w:firstLine="720"/>
        <w:jc w:val="left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 w:val="0"/>
          <w:sz w:val="32"/>
          <w:lang w:val="th-TH" w:bidi="th-TH" w:eastAsia="th-TH"/>
          <w:szCs w:val="32"/>
        </w:rPr>
        <w:t>หมายถึง เกณฑ์​ประเมิน​คุณภาพ​สื่อ​การเรียนรู้​ตาม​แนวคิด​ของ ชัย​ยงค์ พรหม​วงศ์ (2556) โดย E1 คือ​ค่าเฉลี่ย​ร้อยละ​ของ​คะแนน​ระหว่าง​เรียน (กิจกรรม​ใน​แต่ละ EP รวม 8 EP) และ E2 คือ​ค่าเฉลี่ย​ร้อยละ​ของ​คะแนน​ทดสอบ​หลัง​เรียน เกณฑ์​ที่​ใช้​คือ 80/80 ซึ่ง​เหมาะสม​กับ​เนื้อหา​ใน​ระดับ​มัธยมศึกษาตอนปลาย (ชนา​ธิป พร​กุล, 2562)</w:t>
      </w:r>
    </w:p>
    <w:p>
      <w:pPr>
        <w:spacing w:before="160" w:after="80"/>
        <w:ind w:left="283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/>
          <w:sz w:val="34"/>
          <w:lang w:val="th-TH" w:bidi="th-TH" w:eastAsia="th-TH"/>
          <w:szCs w:val="34"/>
        </w:rPr>
        <w:t>1.6.8 รูปแบบ 4-องก์ (Four-Act Learning Model)</w:t>
      </w:r>
    </w:p>
    <w:p>
      <w:pPr>
        <w:spacing w:after="0" w:line="276" w:lineRule="auto"/>
        <w:ind w:firstLine="720"/>
        <w:jc w:val="left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 w:val="0"/>
          <w:sz w:val="32"/>
          <w:lang w:val="th-TH" w:bidi="th-TH" w:eastAsia="th-TH"/>
          <w:szCs w:val="32"/>
        </w:rPr>
        <w:t>หมายถึง รูปแบบ​การ​จัด​การเรียนรู้​ที่​ผู้วิจัย​สังเคราะห์​ขึ้น​จาก​การ​บูรณาการ Active Learning (Bonwell &amp; Eison, 1991) + SDT (Deci &amp; Ryan, 2000) + Game-Based Learning (Plass et al., 2015) + Conceptual Change (Posner et al., 1982) ขยาย​ต่อ​จาก PCaRD model ของ Foster และ Shah (2015) ประกอบด้วย 4 ขั้นตอน ได้แก่ (1) Mission Brief เปิด​ภารกิจ (2) Lab Build ปฏิบัติ-จำลอง (3) Boss Fight ประยุกต์ (4) Reflection สะท้อน​คิด</w:t>
      </w:r>
    </w:p>
    <w:p>
      <w:pPr>
        <w:spacing w:before="160" w:after="80"/>
        <w:ind w:left="283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/>
          <w:sz w:val="34"/>
          <w:lang w:val="th-TH" w:bidi="th-TH" w:eastAsia="th-TH"/>
          <w:szCs w:val="34"/>
        </w:rPr>
        <w:t>1.6.9 นักเรียน​ชั้นมัธยมศึกษา​ปี​ที่ 5</w:t>
      </w:r>
    </w:p>
    <w:p>
      <w:pPr>
        <w:spacing w:after="0" w:line="276" w:lineRule="auto"/>
        <w:ind w:firstLine="720"/>
        <w:jc w:val="left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 w:val="0"/>
          <w:sz w:val="32"/>
          <w:lang w:val="th-TH" w:bidi="th-TH" w:eastAsia="th-TH"/>
          <w:szCs w:val="32"/>
        </w:rPr>
        <w:t>หมายถึง นักเรียน​ที่​กำลัง​ศึกษา​ใน​ระดับ​ชั้นมัธยมศึกษา​ปี​ที่ 5 ภาคเรียน​ที่ 1 ปีการศึกษา 2569 โรงเรียนสตรี​วิทยา จำนวน 3 ห้องเรียน รวม 90 คน ที่​ลงทะเบียนเรียน​รายวิชา ว 30105 วิทยาศาสตร์​พื้นฐาน 5 (โลก​และ​อวกาศ)</w:t>
      </w:r>
    </w:p>
    <w:p>
      <w:pPr>
        <w:spacing w:before="240" w:after="120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/>
          <w:sz w:val="36"/>
          <w:lang w:val="th-TH" w:bidi="th-TH" w:eastAsia="th-TH"/>
          <w:szCs w:val="36"/>
        </w:rPr>
        <w:t>1.7 ประโยชน์​ที่​คาด​ว่า​จะ​ได้รับ</w:t>
      </w:r>
    </w:p>
    <w:p>
      <w:pPr>
        <w:spacing w:before="160" w:after="80"/>
        <w:ind w:left="283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/>
          <w:sz w:val="34"/>
          <w:lang w:val="th-TH" w:bidi="th-TH" w:eastAsia="th-TH"/>
          <w:szCs w:val="34"/>
        </w:rPr>
        <w:t>1.7.1 ประโยชน์​ต่อ​นักเรียน</w:t>
      </w:r>
    </w:p>
    <w:p>
      <w:pPr>
        <w:spacing w:after="0" w:line="276" w:lineRule="auto"/>
        <w:ind w:firstLine="720"/>
        <w:jc w:val="left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 w:val="0"/>
          <w:sz w:val="32"/>
          <w:lang w:val="th-TH" w:bidi="th-TH" w:eastAsia="th-TH"/>
          <w:szCs w:val="32"/>
        </w:rPr>
        <w:t>นักเรียน​ได้​สื่อ​การเรียนรู้​ที่​ส่งเสริม​มโนทัศน์​ทางวิทยาศาสตร์​และ​แรงจูงใจ​ใน​การเรียน​ผ่าน​การเรียนรู้​เชิงรุก (Bonwell &amp; Eison, 1991; Freeman et al., 2014) สามารถ​สร้าง​ประสบการณ์​ตรง​ผ่าน​เกม​ใน​เนื้อหา​ที่​เป็น​นามธรรม​ได้ดี​ยิ่งขึ้น (Prensky, 2001; Gee, 2003) ลด​มโนทัศน์​ที่​คลาดเคลื่อน​ทาง​ดาราศาสตร์​ที่​ถูก​ระบุ​ไว้​ใน​งานวิจัย​ก่อนหน้า (Comins, 2001; Plummer &amp; Krajcik, 2010; Bailey &amp; Slater, 2003)</w:t>
      </w:r>
    </w:p>
    <w:p>
      <w:pPr>
        <w:spacing w:before="160" w:after="80"/>
        <w:ind w:left="283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/>
          <w:sz w:val="34"/>
          <w:lang w:val="th-TH" w:bidi="th-TH" w:eastAsia="th-TH"/>
          <w:szCs w:val="34"/>
        </w:rPr>
        <w:t>1.7.2 ประโยชน์​ต่อ​ครู​และ​สถานศึกษา</w:t>
      </w:r>
    </w:p>
    <w:p>
      <w:pPr>
        <w:spacing w:after="0" w:line="276" w:lineRule="auto"/>
        <w:ind w:firstLine="720"/>
        <w:jc w:val="left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 w:val="0"/>
          <w:sz w:val="32"/>
          <w:lang w:val="th-TH" w:bidi="th-TH" w:eastAsia="th-TH"/>
          <w:szCs w:val="32"/>
        </w:rPr>
        <w:t>ครู​และ​สถานศึกษา​ได้​ชุด​บทเรียน คู่มือการใช้​นวัตกรรม และ​เครื่องมือวัด​ประเมินผล​ที่​ผ่าน​การ​ตรวจสอบ​คุณภาพ​แล้ว ตาม​เกณฑ์ IOC ≥ 0.50 (Rovinelli &amp; Hambleton, 1977) และ Cronbach's α ≥ 0.70 (Cronbach, 1951; Nunnally, 1978) ครู​คนอื่น​สามารถ​นำ​ไป​ประยุกต์​ใช้ได้​ทันที และ​ได้​รูปแบบ​การ​จัด​การเรียนรู้ "4-องก์" ที่​ใช้ได้​ข้าม​วิชา เป็น signature pedagogy (Shulman, 2005) ของ​กลุ่ม​สาระ​วิทยาศาสตร์</w:t>
      </w:r>
    </w:p>
    <w:p>
      <w:pPr>
        <w:spacing w:before="160" w:after="80"/>
        <w:ind w:left="283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/>
          <w:sz w:val="34"/>
          <w:lang w:val="th-TH" w:bidi="th-TH" w:eastAsia="th-TH"/>
          <w:szCs w:val="34"/>
        </w:rPr>
        <w:t>1.7.3 ประโยชน์​ต่อ​วง​การศึกษา​วิทยาศาสตร์</w:t>
      </w:r>
    </w:p>
    <w:p>
      <w:pPr>
        <w:spacing w:after="0" w:line="276" w:lineRule="auto"/>
        <w:ind w:firstLine="720"/>
        <w:jc w:val="left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 w:val="0"/>
          <w:sz w:val="32"/>
          <w:lang w:val="th-TH" w:bidi="th-TH" w:eastAsia="th-TH"/>
          <w:szCs w:val="32"/>
        </w:rPr>
        <w:t>ได้​องค์ความรู้​เกี่ยวกับ​การ​บูรณาการ Active Learning + SDT + Digital Game-Based Learning + Conceptual Change ใน​วิชาดาราศาสตร์​ของ​ไทย และ​มี​ฐานข้อมูล learning analytics (Siemens, 2013; Ifenthaler, Schumacher, &amp; Kuzilek, 2023) สำหรับ​การวิจัย​ต่อยอด​ในอนาคต ทั้ง​ใน​มิติ​ของ adaptive learning, mastery prediction, และ misconception remediation</w:t>
      </w:r>
    </w:p>
    <w:p>
      <w:pPr>
        <w:spacing w:before="240" w:after="120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/>
          <w:sz w:val="36"/>
          <w:lang w:val="th-TH" w:bidi="th-TH" w:eastAsia="th-TH"/>
          <w:szCs w:val="36"/>
        </w:rPr>
        <w:t>1.8 กรอบ​แนวคิด​การวิจัย</w:t>
      </w:r>
    </w:p>
    <w:p>
      <w:pPr>
        <w:spacing w:after="0" w:line="276" w:lineRule="auto"/>
        <w:ind w:firstLine="720"/>
        <w:jc w:val="left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 w:val="0"/>
          <w:sz w:val="32"/>
          <w:lang w:val="th-TH" w:bidi="th-TH" w:eastAsia="th-TH"/>
          <w:szCs w:val="32"/>
        </w:rPr>
        <w:t>กรอบ​แนวคิด​การวิจัย​นี้​บูรณาการ​แนวคิด/ทฤษฎี 4 ประการ ได้แก่ (1) Active Learning ของ Bonwell และ Eison (1991) (2) Self-Determination Theory ของ Deci และ Ryan (2017) (3) Digital Game-Based Learning ของ Plass, Homer และ Kinzer (2015) และ (4) Conceptual Change ของ Posner และ​คณะ (1982) หลอม​รวม​เป็น​รูปแบบ 4-องก์ แล้ว​ประยุกต์​ใน​การพัฒนา​ชุด​บทเรียน COSMOS LOG 8 EP ใช้​กระบวนการ R&amp;D ของ​กรมวิชาการ (2545) 4 ระยะ (R1 ศึกษา​บริบท · R2 พัฒนา · R3 ทดลอง · R4 ประเมิน) เพื่อ​วัดผล​ตัวแปร​ตาม 4 ตัว ได้แก่ ประสิทธิภาพ E1/E2 (ชัย​ยงค์ พรหม​วงศ์, 2556) มโนทัศน์​ทางวิทยาศาสตร์ (Caleon &amp; Subramaniam, 2010) แรงจูงใจ​ใน​การเรียนรู้ (McAuley et al., 1989) และ​ความพึงพอใจ (Likert, 1932) ดัง​ภาพ​ที่ 1.1</w:t>
      </w:r>
    </w:p>
    <w:p>
      <w:pPr>
        <w:spacing w:after="0" w:line="276" w:lineRule="auto"/>
        <w:jc w:val="left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/>
          <w:sz w:val="32"/>
          <w:lang w:val="th-TH" w:bidi="th-TH" w:eastAsia="th-TH"/>
          <w:szCs w:val="32"/>
        </w:rPr>
        <w:t>ภาพ​ที่ 1.1  กรอบ​แนวคิด​การวิจัย (ผู้วิจัย​สังเคราะห์, 2569)</w:t>
      </w:r>
    </w:p>
    <w:p>
      <w:pPr>
        <w:rPr>
          <w:lang w:val="th-TH" w:bidi="th-TH" w:eastAsia="th-TH"/>
        </w:rPr>
      </w:pPr>
      <w:r>
        <w:br w:type="page"/>
      </w:r>
    </w:p>
    <w:p>
      <w:pPr>
        <w:spacing w:before="240" w:after="120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/>
          <w:sz w:val="36"/>
          <w:lang w:val="th-TH" w:bidi="th-TH" w:eastAsia="th-TH"/>
          <w:szCs w:val="36"/>
        </w:rPr>
        <w:t>บรรณานุกรม​ท้าย​บท​ที่ 1</w:t>
      </w:r>
    </w:p>
    <w:p>
      <w:pPr>
        <w:spacing w:after="40" w:line="276" w:lineRule="auto"/>
        <w:ind w:left="720" w:hanging="720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 w:val="0"/>
          <w:sz w:val="30"/>
          <w:lang w:val="th-TH" w:bidi="th-TH" w:eastAsia="th-TH"/>
          <w:szCs w:val="30"/>
        </w:rPr>
        <w:t>กระทรวงศึกษาธิการ. (2560). ตัว​ชี้​วัด​และ​สาระ​การเรียนรู้​แกนกลาง กลุ่ม​สาระ​การเรียนรู้​วิทยาศาสตร์ (ฉบับ​ปรับปรุง พ.ศ. 2560) ตาม​หลักสูตร​แกนกลาง​การศึกษา​ขั้นพื้นฐาน พุทธศักราช 2551. กรุงเทพฯ: โรงพิมพ์​ชุมนุมสหกรณ์​การเกษตร​แห่ง​ประเทศ​ไทย.</w:t>
      </w:r>
    </w:p>
    <w:p>
      <w:pPr>
        <w:spacing w:after="40" w:line="276" w:lineRule="auto"/>
        <w:ind w:left="720" w:hanging="720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 w:val="0"/>
          <w:sz w:val="30"/>
          <w:lang w:val="th-TH" w:bidi="th-TH" w:eastAsia="th-TH"/>
          <w:szCs w:val="30"/>
        </w:rPr>
        <w:t>กรมวิชาการ. (2545). คู่มือ​การพัฒนา​สื่อ​การเรียนรู้. กรุงเทพฯ: กรมวิชาการ กระทรวงศึกษาธิการ.</w:t>
      </w:r>
    </w:p>
    <w:p>
      <w:pPr>
        <w:spacing w:after="40" w:line="276" w:lineRule="auto"/>
        <w:ind w:left="720" w:hanging="720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 w:val="0"/>
          <w:sz w:val="30"/>
          <w:lang w:val="th-TH" w:bidi="th-TH" w:eastAsia="th-TH"/>
          <w:szCs w:val="30"/>
        </w:rPr>
        <w:t>ชนา​ธิป พร​กุล. (2562). การพัฒนา​บทเรียน​คอมพิวเตอร์​ช่วย​สอน​รายวิชา​วิทยาศาสตร์​โลก​และ​อวกาศ สำหรับ​นักเรียน​ชั้น​มัธยมศึกษาตอนปลาย. วารสาร​ศึกษาศาสตร์, 30(2), 1–18.</w:t>
      </w:r>
    </w:p>
    <w:p>
      <w:pPr>
        <w:spacing w:after="40" w:line="276" w:lineRule="auto"/>
        <w:ind w:left="720" w:hanging="720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 w:val="0"/>
          <w:sz w:val="30"/>
          <w:lang w:val="th-TH" w:bidi="th-TH" w:eastAsia="th-TH"/>
          <w:szCs w:val="30"/>
        </w:rPr>
        <w:t>ชัย​ยงค์ พรหม​วงศ์. (2556). การ​ทดสอบ​ประสิทธิภาพ​สื่อ​หรือ​ชุด​การสอน. วารสาร​ศิลปากร​ศึกษาศาสตร์​วิจัย, 5(1), 7–20.</w:t>
      </w:r>
    </w:p>
    <w:p>
      <w:pPr>
        <w:spacing w:after="40" w:line="276" w:lineRule="auto"/>
        <w:ind w:left="720" w:hanging="720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 w:val="0"/>
          <w:sz w:val="30"/>
          <w:lang w:val="th-TH" w:bidi="th-TH" w:eastAsia="th-TH"/>
          <w:szCs w:val="30"/>
        </w:rPr>
        <w:t>บุญ​ชม ศรี​สะอาด. (2553). การวิจัย​เบื้องต้น (พิมพ์​ครั้ง​ที่ 8). กรุงเทพฯ: สุ​วี​ริ​ยา​สาส์น.</w:t>
      </w:r>
    </w:p>
    <w:p>
      <w:pPr>
        <w:spacing w:after="40" w:line="276" w:lineRule="auto"/>
        <w:ind w:left="720" w:hanging="720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 w:val="0"/>
          <w:sz w:val="30"/>
          <w:lang w:val="th-TH" w:bidi="th-TH" w:eastAsia="th-TH"/>
          <w:szCs w:val="30"/>
        </w:rPr>
        <w:t>ปริญญา สิริ​อัตตะ​กุล. (2563). มโนทัศน์​ที่​คลาดเคลื่อน​เรื่อง​ดาราศาสตร์​ของ​นักเรียน​ระดับ​มัธยมศึกษาตอนปลาย. วารสาร​วิทยาศาสตร์​และ​วิทยาศาสตร์​ศึกษา, 3(1), 45–62.</w:t>
      </w:r>
    </w:p>
    <w:p>
      <w:pPr>
        <w:spacing w:after="40" w:line="276" w:lineRule="auto"/>
        <w:ind w:left="720" w:hanging="720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 w:val="0"/>
          <w:sz w:val="30"/>
          <w:lang w:val="th-TH" w:bidi="th-TH" w:eastAsia="th-TH"/>
          <w:szCs w:val="30"/>
        </w:rPr>
        <w:t>สถาบัน​ส่งเสริม​การสอน​วิทยาศาสตร์​และ​เทคโนโลยี. (2562). คู่มือ​ครู​รายวิชา​เพิ่มเติม โลก ดาราศาสตร์​และ​อวกาศ. กรุงเทพฯ: สส​วท.</w:t>
      </w:r>
    </w:p>
    <w:p>
      <w:pPr>
        <w:spacing w:after="40" w:line="276" w:lineRule="auto"/>
        <w:ind w:left="720" w:hanging="720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 w:val="0"/>
          <w:sz w:val="30"/>
          <w:lang w:val="th-TH" w:bidi="th-TH" w:eastAsia="th-TH"/>
          <w:szCs w:val="30"/>
        </w:rPr>
        <w:t>Bailey, J. M., &amp; Slater, T. F. (2003). A review of astronomy education research. Astronomy Education Review, 2(2), 20–45.</w:t>
      </w:r>
    </w:p>
    <w:p>
      <w:pPr>
        <w:spacing w:after="40" w:line="276" w:lineRule="auto"/>
        <w:ind w:left="720" w:hanging="720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 w:val="0"/>
          <w:sz w:val="30"/>
          <w:lang w:val="th-TH" w:bidi="th-TH" w:eastAsia="th-TH"/>
          <w:szCs w:val="30"/>
        </w:rPr>
        <w:t>Bonwell, C. C., &amp; Eison, J. A. (1991). Active learning: Creating excitement in the classroom (ASHE-ERIC Higher Education Report No. 1). Washington, DC: George Washington University.</w:t>
      </w:r>
    </w:p>
    <w:p>
      <w:pPr>
        <w:spacing w:after="40" w:line="276" w:lineRule="auto"/>
        <w:ind w:left="720" w:hanging="720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 w:val="0"/>
          <w:sz w:val="30"/>
          <w:lang w:val="th-TH" w:bidi="th-TH" w:eastAsia="th-TH"/>
          <w:szCs w:val="30"/>
        </w:rPr>
        <w:t>Borg, W. R., &amp; Gall, M. D. (1989). Educational research: An introduction (5th ed.). New York: Longman.</w:t>
      </w:r>
    </w:p>
    <w:p>
      <w:pPr>
        <w:spacing w:after="40" w:line="276" w:lineRule="auto"/>
        <w:ind w:left="720" w:hanging="720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 w:val="0"/>
          <w:sz w:val="30"/>
          <w:lang w:val="th-TH" w:bidi="th-TH" w:eastAsia="th-TH"/>
          <w:szCs w:val="30"/>
        </w:rPr>
        <w:t>Branch, R. M. (2009). Instructional design: The ADDIE approach. New York: Springer.</w:t>
      </w:r>
    </w:p>
    <w:p>
      <w:pPr>
        <w:spacing w:after="40" w:line="276" w:lineRule="auto"/>
        <w:ind w:left="720" w:hanging="720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 w:val="0"/>
          <w:sz w:val="30"/>
          <w:lang w:val="th-TH" w:bidi="th-TH" w:eastAsia="th-TH"/>
          <w:szCs w:val="30"/>
        </w:rPr>
        <w:t>Bybee, R. W. (2013). The case for STEM education: Challenges and opportunities. Arlington, VA: NSTA Press.</w:t>
      </w:r>
    </w:p>
    <w:p>
      <w:pPr>
        <w:spacing w:after="40" w:line="276" w:lineRule="auto"/>
        <w:ind w:left="720" w:hanging="720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 w:val="0"/>
          <w:sz w:val="30"/>
          <w:lang w:val="th-TH" w:bidi="th-TH" w:eastAsia="th-TH"/>
          <w:szCs w:val="30"/>
        </w:rPr>
        <w:t>Caleon, I. S., &amp; Subramaniam, R. (2010). Development and application of a three-tier diagnostic test to assess secondary students' understanding of waves. International Journal of Science Education, 32(7), 939–961.</w:t>
      </w:r>
    </w:p>
    <w:p>
      <w:pPr>
        <w:spacing w:after="40" w:line="276" w:lineRule="auto"/>
        <w:ind w:left="720" w:hanging="720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 w:val="0"/>
          <w:sz w:val="30"/>
          <w:lang w:val="th-TH" w:bidi="th-TH" w:eastAsia="th-TH"/>
          <w:szCs w:val="30"/>
        </w:rPr>
        <w:t>Cochran, W. G. (1977). Sampling techniques (3rd ed.). New York: John Wiley &amp; Sons.</w:t>
      </w:r>
    </w:p>
    <w:p>
      <w:pPr>
        <w:spacing w:after="40" w:line="276" w:lineRule="auto"/>
        <w:ind w:left="720" w:hanging="720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 w:val="0"/>
          <w:sz w:val="30"/>
          <w:lang w:val="th-TH" w:bidi="th-TH" w:eastAsia="th-TH"/>
          <w:szCs w:val="30"/>
        </w:rPr>
        <w:t>Comins, N. F. (2001). Heavenly errors: Misconceptions about the real nature of the universe. New York: Columbia University Press.</w:t>
      </w:r>
    </w:p>
    <w:p>
      <w:pPr>
        <w:spacing w:after="40" w:line="276" w:lineRule="auto"/>
        <w:ind w:left="720" w:hanging="720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 w:val="0"/>
          <w:sz w:val="30"/>
          <w:lang w:val="th-TH" w:bidi="th-TH" w:eastAsia="th-TH"/>
          <w:szCs w:val="30"/>
        </w:rPr>
        <w:t>Cronbach, L. J. (1951). Coefficient alpha and the internal structure of tests. Psychometrika, 16(3), 297–334.</w:t>
      </w:r>
    </w:p>
    <w:p>
      <w:pPr>
        <w:spacing w:after="40" w:line="276" w:lineRule="auto"/>
        <w:ind w:left="720" w:hanging="720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 w:val="0"/>
          <w:sz w:val="30"/>
          <w:lang w:val="th-TH" w:bidi="th-TH" w:eastAsia="th-TH"/>
          <w:szCs w:val="30"/>
        </w:rPr>
        <w:t>Deci, E. L., &amp; Ryan, R. M. (1985). Intrinsic motivation and self-determination in human behavior. New York: Plenum Press.</w:t>
      </w:r>
    </w:p>
    <w:p>
      <w:pPr>
        <w:spacing w:after="40" w:line="276" w:lineRule="auto"/>
        <w:ind w:left="720" w:hanging="720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 w:val="0"/>
          <w:sz w:val="30"/>
          <w:lang w:val="th-TH" w:bidi="th-TH" w:eastAsia="th-TH"/>
          <w:szCs w:val="30"/>
        </w:rPr>
        <w:t>Deci, E. L., &amp; Ryan, R. M. (2000). The 'what' and 'why' of goal pursuits: Human needs and the self-determination of behavior. Psychological Inquiry, 11(4), 227–268.</w:t>
      </w:r>
    </w:p>
    <w:p>
      <w:pPr>
        <w:spacing w:after="40" w:line="276" w:lineRule="auto"/>
        <w:ind w:left="720" w:hanging="720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 w:val="0"/>
          <w:sz w:val="30"/>
          <w:lang w:val="th-TH" w:bidi="th-TH" w:eastAsia="th-TH"/>
          <w:szCs w:val="30"/>
        </w:rPr>
        <w:t>Field, A. (2018). Discovering statistics using IBM SPSS Statistics (5th ed.). London: SAGE.</w:t>
      </w:r>
    </w:p>
    <w:p>
      <w:pPr>
        <w:spacing w:after="40" w:line="276" w:lineRule="auto"/>
        <w:ind w:left="720" w:hanging="720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 w:val="0"/>
          <w:sz w:val="30"/>
          <w:lang w:val="th-TH" w:bidi="th-TH" w:eastAsia="th-TH"/>
          <w:szCs w:val="30"/>
        </w:rPr>
        <w:t>Foster, A., &amp; Shah, M. (2015). The play curricular activity reflection discussion model for game-based learning. Journal of Research on Technology in Education, 47(2), 71–88.</w:t>
      </w:r>
    </w:p>
    <w:p>
      <w:pPr>
        <w:spacing w:after="40" w:line="276" w:lineRule="auto"/>
        <w:ind w:left="720" w:hanging="720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 w:val="0"/>
          <w:sz w:val="30"/>
          <w:lang w:val="th-TH" w:bidi="th-TH" w:eastAsia="th-TH"/>
          <w:szCs w:val="30"/>
        </w:rPr>
        <w:t>Freeman, S., Eddy, S. L., McDonough, M., Smith, M. K., Okoroafor, N., Jordt, H., &amp; Wenderoth, M. P. (2014). Active learning increases student performance in science, engineering, and mathematics. Proceedings of the National Academy of Sciences, 111(23), 8410–8415.</w:t>
      </w:r>
    </w:p>
    <w:p>
      <w:pPr>
        <w:spacing w:after="40" w:line="276" w:lineRule="auto"/>
        <w:ind w:left="720" w:hanging="720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 w:val="0"/>
          <w:sz w:val="30"/>
          <w:lang w:val="th-TH" w:bidi="th-TH" w:eastAsia="th-TH"/>
          <w:szCs w:val="30"/>
        </w:rPr>
        <w:t>Freytag, G. (1900). Technique of the drama: An exposition of dramatic composition and art (E. J. MacEwan, Trans.). Chicago: Scott, Foresman. (Original work published 1863)</w:t>
      </w:r>
    </w:p>
    <w:p>
      <w:pPr>
        <w:spacing w:after="40" w:line="276" w:lineRule="auto"/>
        <w:ind w:left="720" w:hanging="720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 w:val="0"/>
          <w:sz w:val="30"/>
          <w:lang w:val="th-TH" w:bidi="th-TH" w:eastAsia="th-TH"/>
          <w:szCs w:val="30"/>
        </w:rPr>
        <w:t>Furrer, C., &amp; Skinner, E. (2003). Sense of relatedness as a factor in children's academic engagement and performance. Journal of Educational Psychology, 95(1), 148–162.</w:t>
      </w:r>
    </w:p>
    <w:p>
      <w:pPr>
        <w:spacing w:after="40" w:line="276" w:lineRule="auto"/>
        <w:ind w:left="720" w:hanging="720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 w:val="0"/>
          <w:sz w:val="30"/>
          <w:lang w:val="th-TH" w:bidi="th-TH" w:eastAsia="th-TH"/>
          <w:szCs w:val="30"/>
        </w:rPr>
        <w:t>Gee, J. P. (2003). What video games have to teach us about learning and literacy. New York: Palgrave Macmillan.</w:t>
      </w:r>
    </w:p>
    <w:p>
      <w:pPr>
        <w:spacing w:after="40" w:line="276" w:lineRule="auto"/>
        <w:ind w:left="720" w:hanging="720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 w:val="0"/>
          <w:sz w:val="30"/>
          <w:lang w:val="th-TH" w:bidi="th-TH" w:eastAsia="th-TH"/>
          <w:szCs w:val="30"/>
        </w:rPr>
        <w:t>Hake, R. R. (1998). Interactive-engagement versus traditional methods: A six-thousand-student survey of mechanics test data for introductory physics courses. American Journal of Physics, 66(1), 64–74.</w:t>
      </w:r>
    </w:p>
    <w:p>
      <w:pPr>
        <w:spacing w:after="40" w:line="276" w:lineRule="auto"/>
        <w:ind w:left="720" w:hanging="720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 w:val="0"/>
          <w:sz w:val="30"/>
          <w:lang w:val="th-TH" w:bidi="th-TH" w:eastAsia="th-TH"/>
          <w:szCs w:val="30"/>
        </w:rPr>
        <w:t>Ifenthaler, D., Schumacher, C., &amp; Kuzilek, J. (2023). Investigating students' use of self-assessments in higher education using learning analytics. Journal of Computer Assisted Learning, 39(1), 255–268.</w:t>
      </w:r>
    </w:p>
    <w:p>
      <w:pPr>
        <w:spacing w:after="40" w:line="276" w:lineRule="auto"/>
        <w:ind w:left="720" w:hanging="720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 w:val="0"/>
          <w:sz w:val="30"/>
          <w:lang w:val="th-TH" w:bidi="th-TH" w:eastAsia="th-TH"/>
          <w:szCs w:val="30"/>
        </w:rPr>
        <w:t>Krejcie, R. V., &amp; Morgan, D. W. (1970). Determining sample size for research activities. Educational and Psychological Measurement, 30(3), 607–610.</w:t>
      </w:r>
    </w:p>
    <w:p>
      <w:pPr>
        <w:spacing w:after="40" w:line="276" w:lineRule="auto"/>
        <w:ind w:left="720" w:hanging="720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 w:val="0"/>
          <w:sz w:val="30"/>
          <w:lang w:val="th-TH" w:bidi="th-TH" w:eastAsia="th-TH"/>
          <w:szCs w:val="30"/>
        </w:rPr>
        <w:t>Likert, R. (1932). A technique for the measurement of attitudes. Archives of Psychology, 22(140), 5–55.</w:t>
      </w:r>
    </w:p>
    <w:p>
      <w:pPr>
        <w:spacing w:after="40" w:line="276" w:lineRule="auto"/>
        <w:ind w:left="720" w:hanging="720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 w:val="0"/>
          <w:sz w:val="30"/>
          <w:lang w:val="th-TH" w:bidi="th-TH" w:eastAsia="th-TH"/>
          <w:szCs w:val="30"/>
        </w:rPr>
        <w:t>Locke, E. A. (1976). The nature and causes of job satisfaction. In M. D. Dunnette (Ed.), Handbook of industrial and organizational psychology (pp. 1297–1349). Chicago: Rand McNally.</w:t>
      </w:r>
    </w:p>
    <w:p>
      <w:pPr>
        <w:spacing w:after="40" w:line="276" w:lineRule="auto"/>
        <w:ind w:left="720" w:hanging="720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 w:val="0"/>
          <w:sz w:val="30"/>
          <w:lang w:val="th-TH" w:bidi="th-TH" w:eastAsia="th-TH"/>
          <w:szCs w:val="30"/>
        </w:rPr>
        <w:t>McAuley, E., Duncan, T., &amp; Tammen, V. V. (1989). Psychometric properties of the Intrinsic Motivation Inventory in a competitive sport setting. Research Quarterly for Exercise and Sport, 60(1), 48–58.</w:t>
      </w:r>
    </w:p>
    <w:p>
      <w:pPr>
        <w:spacing w:after="40" w:line="276" w:lineRule="auto"/>
        <w:ind w:left="720" w:hanging="720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 w:val="0"/>
          <w:sz w:val="30"/>
          <w:lang w:val="th-TH" w:bidi="th-TH" w:eastAsia="th-TH"/>
          <w:szCs w:val="30"/>
        </w:rPr>
        <w:t>Nunnally, J. C. (1978). Psychometric theory (2nd ed.). New York: McGraw-Hill.</w:t>
      </w:r>
    </w:p>
    <w:p>
      <w:pPr>
        <w:spacing w:after="40" w:line="276" w:lineRule="auto"/>
        <w:ind w:left="720" w:hanging="720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 w:val="0"/>
          <w:sz w:val="30"/>
          <w:lang w:val="th-TH" w:bidi="th-TH" w:eastAsia="th-TH"/>
          <w:szCs w:val="30"/>
        </w:rPr>
        <w:t>OECD. (2018). The future of education and skills: Education 2030. Paris: OECD Publishing.</w:t>
      </w:r>
    </w:p>
    <w:p>
      <w:pPr>
        <w:spacing w:after="40" w:line="276" w:lineRule="auto"/>
        <w:ind w:left="720" w:hanging="720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 w:val="0"/>
          <w:sz w:val="30"/>
          <w:lang w:val="th-TH" w:bidi="th-TH" w:eastAsia="th-TH"/>
          <w:szCs w:val="30"/>
        </w:rPr>
        <w:t>Partnership for 21st Century Skills. (2009). P21 framework definitions. Washington, DC: P21.</w:t>
      </w:r>
    </w:p>
    <w:p>
      <w:pPr>
        <w:spacing w:after="40" w:line="276" w:lineRule="auto"/>
        <w:ind w:left="720" w:hanging="720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 w:val="0"/>
          <w:sz w:val="30"/>
          <w:lang w:val="th-TH" w:bidi="th-TH" w:eastAsia="th-TH"/>
          <w:szCs w:val="30"/>
        </w:rPr>
        <w:t>Plass, J. L., Homer, B. D., &amp; Kinzer, C. K. (2015). Foundations of game-based learning. Educational Psychologist, 50(4), 258–283.</w:t>
      </w:r>
    </w:p>
    <w:p>
      <w:pPr>
        <w:spacing w:after="40" w:line="276" w:lineRule="auto"/>
        <w:ind w:left="720" w:hanging="720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 w:val="0"/>
          <w:sz w:val="30"/>
          <w:lang w:val="th-TH" w:bidi="th-TH" w:eastAsia="th-TH"/>
          <w:szCs w:val="30"/>
        </w:rPr>
        <w:t>Plummer, J. D., &amp; Krajcik, J. (2010). Building a learning progression for celestial motion: Elementary levels from an Earth-based perspective. Journal of Research in Science Teaching, 47(7), 768–787.</w:t>
      </w:r>
    </w:p>
    <w:p>
      <w:pPr>
        <w:spacing w:after="40" w:line="276" w:lineRule="auto"/>
        <w:ind w:left="720" w:hanging="720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 w:val="0"/>
          <w:sz w:val="30"/>
          <w:lang w:val="th-TH" w:bidi="th-TH" w:eastAsia="th-TH"/>
          <w:szCs w:val="30"/>
        </w:rPr>
        <w:t>Posner, G. J., Strike, K. A., Hewson, P. W., &amp; Gertzog, W. A. (1982). Accommodation of a scientific conception: Toward a theory of conceptual change. Science Education, 66(2), 211–227.</w:t>
      </w:r>
    </w:p>
    <w:p>
      <w:pPr>
        <w:spacing w:after="40" w:line="276" w:lineRule="auto"/>
        <w:ind w:left="720" w:hanging="720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 w:val="0"/>
          <w:sz w:val="30"/>
          <w:lang w:val="th-TH" w:bidi="th-TH" w:eastAsia="th-TH"/>
          <w:szCs w:val="30"/>
        </w:rPr>
        <w:t>Prensky, M. (2001). Digital game-based learning. New York: McGraw-Hill.</w:t>
      </w:r>
    </w:p>
    <w:p>
      <w:pPr>
        <w:spacing w:after="40" w:line="276" w:lineRule="auto"/>
        <w:ind w:left="720" w:hanging="720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 w:val="0"/>
          <w:sz w:val="30"/>
          <w:lang w:val="th-TH" w:bidi="th-TH" w:eastAsia="th-TH"/>
          <w:szCs w:val="30"/>
        </w:rPr>
        <w:t>Prince, M. (2004). Does active learning work? A review of the research. Journal of Engineering Education, 93(3), 223–231.</w:t>
      </w:r>
    </w:p>
    <w:p>
      <w:pPr>
        <w:spacing w:after="40" w:line="276" w:lineRule="auto"/>
        <w:ind w:left="720" w:hanging="720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 w:val="0"/>
          <w:sz w:val="30"/>
          <w:lang w:val="th-TH" w:bidi="th-TH" w:eastAsia="th-TH"/>
          <w:szCs w:val="30"/>
        </w:rPr>
        <w:t>Rovinelli, R. J., &amp; Hambleton, R. K. (1977). On the use of content specialists in the assessment of criterion-referenced test item validity. Dutch Journal of Educational Research, 2(2), 49–60.</w:t>
      </w:r>
    </w:p>
    <w:p>
      <w:pPr>
        <w:spacing w:after="40" w:line="276" w:lineRule="auto"/>
        <w:ind w:left="720" w:hanging="720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 w:val="0"/>
          <w:sz w:val="30"/>
          <w:lang w:val="th-TH" w:bidi="th-TH" w:eastAsia="th-TH"/>
          <w:szCs w:val="30"/>
        </w:rPr>
        <w:t>Ryan, R. M. (1982). Control and information in the intrapersonal sphere: An extension of cognitive evaluation theory. Journal of Personality and Social Psychology, 43(3), 450–461.</w:t>
      </w:r>
    </w:p>
    <w:p>
      <w:pPr>
        <w:spacing w:after="40" w:line="276" w:lineRule="auto"/>
        <w:ind w:left="720" w:hanging="720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 w:val="0"/>
          <w:sz w:val="30"/>
          <w:lang w:val="th-TH" w:bidi="th-TH" w:eastAsia="th-TH"/>
          <w:szCs w:val="30"/>
        </w:rPr>
        <w:t>Ryan, R. M., &amp; Deci, E. L. (2017). Self-determination theory: Basic psychological needs in motivation, development, and wellness. New York: Guilford Press.</w:t>
      </w:r>
    </w:p>
    <w:p>
      <w:pPr>
        <w:spacing w:after="40" w:line="276" w:lineRule="auto"/>
        <w:ind w:left="720" w:hanging="720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 w:val="0"/>
          <w:sz w:val="30"/>
          <w:lang w:val="th-TH" w:bidi="th-TH" w:eastAsia="th-TH"/>
          <w:szCs w:val="30"/>
        </w:rPr>
        <w:t>Sadler, P. M. (1992). The initial knowledge state of high school astronomy students (Doctoral dissertation). Harvard Graduate School of Education.</w:t>
      </w:r>
    </w:p>
    <w:p>
      <w:pPr>
        <w:spacing w:after="40" w:line="276" w:lineRule="auto"/>
        <w:ind w:left="720" w:hanging="720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 w:val="0"/>
          <w:sz w:val="30"/>
          <w:lang w:val="th-TH" w:bidi="th-TH" w:eastAsia="th-TH"/>
          <w:szCs w:val="30"/>
        </w:rPr>
        <w:t>Shulman, L. S. (2005). Signature pedagogies in the professions. Daedalus, 134(3), 52–59.</w:t>
      </w:r>
    </w:p>
    <w:p>
      <w:pPr>
        <w:spacing w:after="40" w:line="276" w:lineRule="auto"/>
        <w:ind w:left="720" w:hanging="720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 w:val="0"/>
          <w:sz w:val="30"/>
          <w:lang w:val="th-TH" w:bidi="th-TH" w:eastAsia="th-TH"/>
          <w:szCs w:val="30"/>
        </w:rPr>
        <w:t>Siemens, G. (2013). Learning analytics: The emergence of a discipline. American Behavioral Scientist, 57(10), 1380–1400.</w:t>
      </w:r>
    </w:p>
    <w:p>
      <w:pPr>
        <w:spacing w:after="40" w:line="276" w:lineRule="auto"/>
        <w:ind w:left="720" w:hanging="720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 w:val="0"/>
          <w:sz w:val="30"/>
          <w:lang w:val="th-TH" w:bidi="th-TH" w:eastAsia="th-TH"/>
          <w:szCs w:val="30"/>
        </w:rPr>
        <w:t>Skinner, E. A., &amp; Belmont, M. J. (1993). Motivation in the classroom: Reciprocal effects of teacher behavior and student engagement across the school year. Journal of Educational Psychology, 85(4), 571–581.</w:t>
      </w:r>
    </w:p>
    <w:p>
      <w:pPr>
        <w:spacing w:after="40" w:line="276" w:lineRule="auto"/>
        <w:ind w:left="720" w:hanging="720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 w:val="0"/>
          <w:sz w:val="30"/>
          <w:lang w:val="th-TH" w:bidi="th-TH" w:eastAsia="th-TH"/>
          <w:szCs w:val="30"/>
        </w:rPr>
        <w:t>Treagust, D. F. (1988). Development and use of diagnostic tests to evaluate students' misconceptions in science. International Journal of Science Education, 10(2), 159–169.</w:t>
      </w:r>
    </w:p>
    <w:p>
      <w:pPr>
        <w:spacing w:after="40" w:line="276" w:lineRule="auto"/>
        <w:ind w:left="720" w:hanging="720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 w:val="0"/>
          <w:sz w:val="30"/>
          <w:lang w:val="th-TH" w:bidi="th-TH" w:eastAsia="th-TH"/>
          <w:szCs w:val="30"/>
        </w:rPr>
        <w:t>Trumper, R. (2001). A cross-age study of senior high school students' conceptions of basic astronomy concepts. Research in Science &amp; Technological Education, 19(1), 97–109.</w:t>
      </w:r>
    </w:p>
    <w:p>
      <w:pPr>
        <w:spacing w:after="40" w:line="276" w:lineRule="auto"/>
        <w:ind w:left="720" w:hanging="720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 w:val="0"/>
          <w:sz w:val="30"/>
          <w:lang w:val="th-TH" w:bidi="th-TH" w:eastAsia="th-TH"/>
          <w:szCs w:val="30"/>
        </w:rPr>
        <w:t>Vosniadou, S. (2013). International handbook of research on conceptual change (2nd ed.). New York: Routledge.</w:t>
      </w:r>
    </w:p>
    <w:p>
      <w:pPr>
        <w:spacing w:after="40" w:line="276" w:lineRule="auto"/>
        <w:ind w:left="720" w:hanging="720"/>
        <w:rPr>
          <w:lang w:val="th-TH" w:bidi="th-TH" w:eastAsia="th-TH"/>
        </w:rPr>
      </w:pPr>
      <w:r>
        <w:rPr>
          <w:rFonts w:ascii="TH Sarabun New" w:hAnsi="TH Sarabun New" w:cs="TH Sarabun New" w:eastAsia="TH Sarabun New"/>
          <w:b w:val="0"/>
          <w:sz w:val="30"/>
          <w:lang w:val="th-TH" w:bidi="th-TH" w:eastAsia="th-TH"/>
          <w:szCs w:val="30"/>
        </w:rPr>
        <w:t>Weiss, H. M. (2002). Deconstructing job satisfaction: Separating evaluations, beliefs and affective experiences. Human Resource Management Review, 12(2), 173–194.</w:t>
      </w:r>
    </w:p>
    <w:sectPr w:rsidR="00FC693F" w:rsidRPr="0006063C" w:rsidSect="00034616">
      <w:pgSz w:w="11906" w:h="16838"/>
      <w:pgMar w:top="1440" w:right="1134" w:bottom="144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 w:eastAsia="TH Sarabun New" w:cs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