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B3CAF">
      <w:pPr>
        <w:jc w:val="center"/>
        <w:rPr>
          <w:rFonts w:hint="eastAsia"/>
          <w:b/>
          <w:bCs/>
          <w:color w:val="000000"/>
          <w:sz w:val="32"/>
          <w:szCs w:val="32"/>
          <w:lang w:val="en-US" w:eastAsia="zh-CN"/>
          <w14:textFill>
            <w14:solidFill>
              <w14:srgbClr w14:val="000000">
                <w14:lumMod w14:val="95000"/>
                <w14:lumOff w14:val="5000"/>
              </w14:srgbClr>
            </w14:solidFill>
          </w14:textFill>
        </w:rPr>
      </w:pPr>
      <w:r>
        <w:rPr>
          <w:rFonts w:hint="eastAsia"/>
          <w:b/>
          <w:bCs/>
          <w:color w:val="000000"/>
          <w:sz w:val="32"/>
          <w:szCs w:val="32"/>
          <w14:textFill>
            <w14:solidFill>
              <w14:srgbClr w14:val="000000">
                <w14:lumMod w14:val="95000"/>
                <w14:lumOff w14:val="5000"/>
              </w14:srgbClr>
            </w14:solidFill>
          </w14:textFill>
        </w:rPr>
        <w:t>张旭滨和杭州动物医院有限公司新增诊疗仪器项目</w:t>
      </w:r>
      <w:r>
        <w:rPr>
          <w:rFonts w:hint="eastAsia"/>
          <w:b/>
          <w:bCs/>
          <w:color w:val="000000"/>
          <w:sz w:val="32"/>
          <w:szCs w:val="32"/>
          <w:lang w:val="en-US" w:eastAsia="zh-CN"/>
          <w14:textFill>
            <w14:solidFill>
              <w14:srgbClr w14:val="000000">
                <w14:lumMod w14:val="95000"/>
                <w14:lumOff w14:val="5000"/>
              </w14:srgbClr>
            </w14:solidFill>
          </w14:textFill>
        </w:rPr>
        <w:t>环境影响评价信息公示</w:t>
      </w:r>
    </w:p>
    <w:p w14:paraId="2C80FAAC">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b/>
          <w:bCs/>
          <w:color w:val="000000"/>
          <w:sz w:val="24"/>
          <w:szCs w:val="24"/>
          <w:lang w:val="en-US" w:eastAsia="zh-CN"/>
          <w14:textFill>
            <w14:solidFill>
              <w14:srgbClr w14:val="000000">
                <w14:lumMod w14:val="95000"/>
                <w14:lumOff w14:val="5000"/>
              </w14:srgbClr>
            </w14:solidFill>
          </w14:textFill>
        </w:rPr>
      </w:pPr>
      <w:bookmarkStart w:id="0" w:name="_GoBack"/>
      <w:bookmarkEnd w:id="0"/>
      <w:r>
        <w:rPr>
          <w:rFonts w:hint="eastAsia"/>
          <w:b/>
          <w:bCs/>
          <w:color w:val="000000"/>
          <w:sz w:val="24"/>
          <w:szCs w:val="24"/>
          <w:lang w:val="en-US" w:eastAsia="zh-CN"/>
          <w14:textFill>
            <w14:solidFill>
              <w14:srgbClr w14:val="000000">
                <w14:lumMod w14:val="95000"/>
                <w14:lumOff w14:val="5000"/>
              </w14:srgbClr>
            </w14:solidFill>
          </w14:textFill>
        </w:rPr>
        <w:t>项目概况</w:t>
      </w:r>
    </w:p>
    <w:p w14:paraId="2C96FB3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eastAsia="宋体" w:cs="Times New Roman"/>
          <w:b w:val="0"/>
          <w:bCs w:val="0"/>
          <w:color w:val="000000"/>
          <w:sz w:val="24"/>
          <w:szCs w:val="24"/>
          <w:lang w:val="en-US" w:eastAsia="zh-CN"/>
          <w14:textFill>
            <w14:solidFill>
              <w14:srgbClr w14:val="000000">
                <w14:lumMod w14:val="95000"/>
                <w14:lumOff w14:val="5000"/>
              </w14:srgbClr>
            </w14:solidFill>
          </w14:textFill>
        </w:rPr>
        <w:t>1</w:t>
      </w:r>
      <w:r>
        <w:rPr>
          <w:rFonts w:hint="eastAsia" w:ascii="Times New Roman" w:hAnsi="Times New Roman" w:eastAsia="宋体" w:cs="Times New Roman"/>
          <w:b w:val="0"/>
          <w:bCs w:val="0"/>
          <w:color w:val="000000"/>
          <w:sz w:val="24"/>
          <w:szCs w:val="24"/>
          <w:lang w:val="en-US" w:eastAsia="zh-CN"/>
          <w14:textFill>
            <w14:solidFill>
              <w14:srgbClr w14:val="000000">
                <w14:lumMod w14:val="95000"/>
                <w14:lumOff w14:val="5000"/>
              </w14:srgbClr>
            </w14:solidFill>
          </w14:textFill>
        </w:rPr>
        <w:t>、</w:t>
      </w:r>
      <w:r>
        <w:rPr>
          <w:rFonts w:hint="default" w:ascii="Times New Roman" w:hAnsi="Times New Roman" w:eastAsia="宋体" w:cs="Times New Roman"/>
          <w:b w:val="0"/>
          <w:bCs w:val="0"/>
          <w:color w:val="000000"/>
          <w:sz w:val="24"/>
          <w:szCs w:val="24"/>
          <w:lang w:val="en-US" w:eastAsia="zh-CN"/>
          <w14:textFill>
            <w14:solidFill>
              <w14:srgbClr w14:val="000000">
                <w14:lumMod w14:val="95000"/>
                <w14:lumOff w14:val="5000"/>
              </w14:srgbClr>
            </w14:solidFill>
          </w14:textFill>
        </w:rPr>
        <w:t>项目名称：张旭滨和杭州动物医院有限公司新增诊疗仪器项目</w:t>
      </w:r>
    </w:p>
    <w:p w14:paraId="41E9CCE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2</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建设单位名称：杭州张旭滨和动物医院有限公司</w:t>
      </w:r>
    </w:p>
    <w:p w14:paraId="6034716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3</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环评单位名称：</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浙江省环境科技股份有限公司</w:t>
      </w:r>
    </w:p>
    <w:p w14:paraId="2E8DDC9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4</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建设地点：浙江省杭州市滨江区滨和路998号中赢国际杭州张旭滨和动物医院二层</w:t>
      </w:r>
    </w:p>
    <w:p w14:paraId="678EC93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5、建设性质：扩建</w:t>
      </w:r>
    </w:p>
    <w:p w14:paraId="5BCC2DD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6、</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建设内容和规模：本项目拟于动物医院2楼</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放疗</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手术室新增1台Mobetron 2000型术中放射治疗用移动式电子线术中直线加速器，用于动物全身肿瘤术中放射治疗。</w:t>
      </w:r>
    </w:p>
    <w:p w14:paraId="24D8B94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bCs/>
          <w:sz w:val="24"/>
          <w:szCs w:val="32"/>
          <w:lang w:val="en-US" w:eastAsia="zh-CN"/>
        </w:rPr>
        <w:t>二、环境影响评价范围内主要环境敏感目标</w:t>
      </w:r>
    </w:p>
    <w:p w14:paraId="170E7BC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放疗手术室50m评价范围内的环境保护目标为医院内部、园区商铺、院外空地、地面停车场、中赢国际、滨和路。以上场所包括辐射工作人员、非辐射工作人员和其他流动公众。</w:t>
      </w:r>
    </w:p>
    <w:p w14:paraId="1B3E59D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三、主要环境影响预测情况</w:t>
      </w:r>
    </w:p>
    <w:p w14:paraId="5C59F5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1、施工期对环境的影响</w:t>
      </w:r>
    </w:p>
    <w:p w14:paraId="394B8A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本项目的建设是在原有建筑的基础上进行改造，涉及墙体的搭建、装修、装饰等，以上活动将产生一定量的扬尘、施工噪声、施工废水、固体垃圾等污染物，将对周围环境产生一定的影响。本项目建设施工时对环境的影响及应采取的污染防治措施如下：</w:t>
      </w:r>
    </w:p>
    <w:p w14:paraId="75F378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（1）大气：在进行施工及装修与装饰时，将产生少量的扬尘和废气，但这方面的影响仅局限在外科楼内。</w:t>
      </w:r>
    </w:p>
    <w:p w14:paraId="27DDEE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（2）噪声：在进行施工及装修与装饰时，将产生不同程度的噪声，对周围环境造成一定的影响。</w:t>
      </w:r>
    </w:p>
    <w:p w14:paraId="418FB5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（3）施工废水：在进行施工及装修与装饰时，将产生少量的施工废水。</w:t>
      </w:r>
    </w:p>
    <w:p w14:paraId="5434AF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（4）固体垃圾：在进行施工及装修与装饰期间，将产生少量的建筑垃圾及装修垃圾。</w:t>
      </w:r>
    </w:p>
    <w:p w14:paraId="36922AE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营运期</w:t>
      </w:r>
    </w:p>
    <w:p w14:paraId="34BAA24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辐射环境影响分析</w:t>
      </w:r>
    </w:p>
    <w:p w14:paraId="6138048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项目运行期间主要的环境污染物为Mobetron2000型术中放疗专用加速器</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运行时产生</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电子线以及电子线所致的轫致辐射X射线</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t>
      </w:r>
    </w:p>
    <w:p w14:paraId="6493D81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废气影响分析</w:t>
      </w:r>
    </w:p>
    <w:p w14:paraId="568F10F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Mobetron 2000型术中放疗专用加速器产生的电子及轫致辐射将电离术中放疗专用手术室内空气，产生少量臭氧和氮氧化物。</w:t>
      </w:r>
    </w:p>
    <w:p w14:paraId="6C17E95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固体废弃物影响分析</w:t>
      </w:r>
    </w:p>
    <w:p w14:paraId="6222535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本项目手术过程中产生的棉签、纱布、手套、器具等医疗废物。</w:t>
      </w:r>
    </w:p>
    <w:p w14:paraId="7B3E82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废水影响分析</w:t>
      </w:r>
    </w:p>
    <w:p w14:paraId="0B603DA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治疗过程中会产生少量的器械清洗废水、医护手部清洗废水。</w:t>
      </w:r>
    </w:p>
    <w:p w14:paraId="40557B6B">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拟采取的主要环境保护措施、环境风险防范措施以及预期效果</w:t>
      </w:r>
    </w:p>
    <w:p w14:paraId="49942E9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项目拟采取的主要环境保护措施、环境风险防范措施以及预期效果见表1。</w:t>
      </w:r>
    </w:p>
    <w:p w14:paraId="557B22B7">
      <w:pPr>
        <w:adjustRightInd w:val="0"/>
        <w:spacing w:line="500" w:lineRule="exact"/>
        <w:ind w:firstLine="480"/>
        <w:jc w:val="center"/>
        <w:rPr>
          <w:rFonts w:hint="eastAsia" w:ascii="Times New Roman" w:hAnsi="Times New Roman" w:eastAsia="宋体" w:cs="Times New Roman"/>
          <w:b/>
          <w:bCs/>
          <w:szCs w:val="24"/>
        </w:rPr>
      </w:pPr>
      <w:r>
        <w:rPr>
          <w:rFonts w:hint="eastAsia" w:ascii="Times New Roman" w:hAnsi="Times New Roman" w:eastAsia="宋体" w:cs="Times New Roman"/>
          <w:b/>
          <w:bCs/>
          <w:szCs w:val="24"/>
        </w:rPr>
        <w:t>表</w:t>
      </w:r>
      <w:r>
        <w:rPr>
          <w:rFonts w:hint="eastAsia" w:ascii="Times New Roman" w:hAnsi="Times New Roman" w:eastAsia="宋体" w:cs="Times New Roman"/>
          <w:b/>
          <w:bCs/>
          <w:szCs w:val="24"/>
          <w:lang w:val="en-US" w:eastAsia="zh-CN"/>
        </w:rPr>
        <w:t>1</w:t>
      </w:r>
      <w:r>
        <w:rPr>
          <w:rFonts w:hint="eastAsia" w:ascii="Times New Roman" w:hAnsi="Times New Roman" w:eastAsia="宋体" w:cs="Times New Roman"/>
          <w:b/>
          <w:bCs/>
          <w:szCs w:val="24"/>
        </w:rPr>
        <w:t>主要环境保护措施、环境风险防范措施以及预期效果</w:t>
      </w:r>
    </w:p>
    <w:tbl>
      <w:tblPr>
        <w:tblStyle w:val="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9"/>
        <w:gridCol w:w="777"/>
        <w:gridCol w:w="7146"/>
      </w:tblGrid>
      <w:tr w14:paraId="62A6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noWrap w:val="0"/>
            <w:vAlign w:val="center"/>
          </w:tcPr>
          <w:p w14:paraId="4084DDE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项目</w:t>
            </w:r>
          </w:p>
        </w:tc>
        <w:tc>
          <w:tcPr>
            <w:tcW w:w="777" w:type="dxa"/>
            <w:noWrap w:val="0"/>
            <w:vAlign w:val="center"/>
          </w:tcPr>
          <w:p w14:paraId="1AE2363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污染源</w:t>
            </w:r>
          </w:p>
        </w:tc>
        <w:tc>
          <w:tcPr>
            <w:tcW w:w="7146" w:type="dxa"/>
            <w:noWrap w:val="0"/>
            <w:vAlign w:val="center"/>
          </w:tcPr>
          <w:p w14:paraId="666313E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cs="Times New Roman"/>
                <w:color w:val="auto"/>
                <w:kern w:val="0"/>
                <w:sz w:val="21"/>
                <w:szCs w:val="21"/>
                <w:lang w:val="en-US" w:eastAsia="zh-CN" w:bidi="ar"/>
              </w:rPr>
              <w:t>污染防治措施</w:t>
            </w:r>
          </w:p>
        </w:tc>
      </w:tr>
      <w:tr w14:paraId="45FE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restart"/>
            <w:noWrap w:val="0"/>
            <w:vAlign w:val="center"/>
          </w:tcPr>
          <w:p w14:paraId="1DFBE4A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施工期</w:t>
            </w:r>
          </w:p>
        </w:tc>
        <w:tc>
          <w:tcPr>
            <w:tcW w:w="777" w:type="dxa"/>
            <w:noWrap w:val="0"/>
            <w:vAlign w:val="center"/>
          </w:tcPr>
          <w:p w14:paraId="3FC327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施工废水</w:t>
            </w:r>
          </w:p>
        </w:tc>
        <w:tc>
          <w:tcPr>
            <w:tcW w:w="7146" w:type="dxa"/>
            <w:noWrap w:val="0"/>
            <w:vAlign w:val="center"/>
          </w:tcPr>
          <w:p w14:paraId="49CBCAA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sz w:val="21"/>
                <w:szCs w:val="21"/>
                <w:lang w:val="en-US" w:eastAsia="zh-CN"/>
              </w:rPr>
            </w:pPr>
            <w:r>
              <w:rPr>
                <w:rFonts w:hint="default" w:ascii="Times New Roman" w:hAnsi="Times New Roman" w:cs="Times New Roman"/>
                <w:color w:val="auto"/>
                <w:kern w:val="0"/>
                <w:sz w:val="21"/>
                <w:szCs w:val="21"/>
                <w:lang w:val="en-US" w:eastAsia="zh-CN" w:bidi="ar"/>
              </w:rPr>
              <w:t>对这些废水进行初级沉淀后回收用于施工场地的洒水降尘。</w:t>
            </w:r>
          </w:p>
        </w:tc>
      </w:tr>
      <w:tr w14:paraId="6104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6D3E24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7EA44F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val="en-US" w:eastAsia="zh-CN" w:bidi="ar"/>
              </w:rPr>
              <w:t>废气</w:t>
            </w:r>
          </w:p>
        </w:tc>
        <w:tc>
          <w:tcPr>
            <w:tcW w:w="7146" w:type="dxa"/>
            <w:noWrap w:val="0"/>
            <w:vAlign w:val="center"/>
          </w:tcPr>
          <w:p w14:paraId="2598AC7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在进行施工及装修与装饰时应及时清扫施工场地并洒水，保持场所清洁、湿润，减少扬尘。</w:t>
            </w:r>
          </w:p>
        </w:tc>
      </w:tr>
      <w:tr w14:paraId="27FD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57C58F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594F75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噪声</w:t>
            </w:r>
          </w:p>
        </w:tc>
        <w:tc>
          <w:tcPr>
            <w:tcW w:w="7146" w:type="dxa"/>
            <w:noWrap w:val="0"/>
            <w:vAlign w:val="center"/>
          </w:tcPr>
          <w:p w14:paraId="767CA66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auto"/>
                <w:kern w:val="0"/>
                <w:sz w:val="21"/>
                <w:szCs w:val="21"/>
                <w:lang w:val="en-US" w:eastAsia="zh-CN" w:bidi="ar"/>
              </w:rPr>
            </w:pPr>
            <w:r>
              <w:rPr>
                <w:rFonts w:hint="default" w:ascii="Times New Roman" w:hAnsi="Times New Roman" w:cs="Times New Roman"/>
                <w:color w:val="auto"/>
                <w:kern w:val="0"/>
                <w:sz w:val="21"/>
                <w:szCs w:val="21"/>
                <w:lang w:bidi="ar"/>
              </w:rPr>
              <w:t>在施工时应严格执行《建筑施工噪声排放标准》（GB 12523-2025）的标准，尽量使用噪声低的先进设备，同时严禁夜间进行强噪声作业。</w:t>
            </w:r>
          </w:p>
        </w:tc>
      </w:tr>
      <w:tr w14:paraId="611E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731983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6ED09F6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固废</w:t>
            </w:r>
          </w:p>
        </w:tc>
        <w:tc>
          <w:tcPr>
            <w:tcW w:w="7146" w:type="dxa"/>
            <w:noWrap w:val="0"/>
            <w:vAlign w:val="center"/>
          </w:tcPr>
          <w:p w14:paraId="316E93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auto"/>
                <w:kern w:val="0"/>
                <w:sz w:val="21"/>
                <w:szCs w:val="21"/>
                <w:lang w:val="en-US" w:eastAsia="zh-CN" w:bidi="ar"/>
              </w:rPr>
            </w:pPr>
            <w:r>
              <w:rPr>
                <w:rFonts w:hint="default" w:ascii="Times New Roman" w:hAnsi="Times New Roman" w:cs="Times New Roman"/>
                <w:color w:val="auto"/>
                <w:kern w:val="0"/>
                <w:sz w:val="21"/>
                <w:szCs w:val="21"/>
                <w:lang w:bidi="ar"/>
              </w:rPr>
              <w:t>建筑垃圾和装修垃圾应定点堆放，委托有资质的单位清运，并做好清运工作中的装载工作，防止在运输途中散落。</w:t>
            </w:r>
          </w:p>
        </w:tc>
      </w:tr>
      <w:tr w14:paraId="4177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restart"/>
            <w:noWrap w:val="0"/>
            <w:vAlign w:val="center"/>
          </w:tcPr>
          <w:p w14:paraId="6BD1C9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eastAsia="zh-CN" w:bidi="ar"/>
              </w:rPr>
              <w:t>运营期</w:t>
            </w:r>
          </w:p>
        </w:tc>
        <w:tc>
          <w:tcPr>
            <w:tcW w:w="777" w:type="dxa"/>
            <w:noWrap w:val="0"/>
            <w:vAlign w:val="center"/>
          </w:tcPr>
          <w:p w14:paraId="03D847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废气</w:t>
            </w:r>
          </w:p>
        </w:tc>
        <w:tc>
          <w:tcPr>
            <w:tcW w:w="7146" w:type="dxa"/>
            <w:noWrap w:val="0"/>
            <w:vAlign w:val="center"/>
          </w:tcPr>
          <w:p w14:paraId="5DEA994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auto"/>
                <w:kern w:val="0"/>
                <w:sz w:val="21"/>
                <w:szCs w:val="21"/>
                <w:lang w:val="en-US" w:eastAsia="zh-CN" w:bidi="ar"/>
              </w:rPr>
            </w:pPr>
            <w:r>
              <w:rPr>
                <w:rFonts w:hint="default" w:ascii="Times New Roman" w:hAnsi="Times New Roman" w:cs="Times New Roman"/>
                <w:color w:val="auto"/>
                <w:kern w:val="0"/>
                <w:sz w:val="21"/>
                <w:szCs w:val="21"/>
                <w:lang w:val="en-US" w:eastAsia="zh-CN" w:bidi="ar"/>
              </w:rPr>
              <w:t>本项目术中放疗专用手术室为层流净化手术室，安装有净化通风系统，手术室产生的臭氧和氮氧化物可通过通风系统排出，臭氧常温下可自行分解为氧气，对环境影响很小。</w:t>
            </w:r>
          </w:p>
        </w:tc>
      </w:tr>
      <w:tr w14:paraId="7731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11C9F7B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069156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eastAsiaTheme="minorEastAsia"/>
                <w:color w:val="auto"/>
                <w:kern w:val="0"/>
                <w:sz w:val="21"/>
                <w:szCs w:val="21"/>
                <w:lang w:val="en-US" w:eastAsia="zh-CN" w:bidi="ar"/>
              </w:rPr>
            </w:pPr>
            <w:r>
              <w:rPr>
                <w:rFonts w:hint="eastAsia" w:ascii="Times New Roman" w:hAnsi="Times New Roman" w:cs="Times New Roman"/>
                <w:color w:val="auto"/>
                <w:kern w:val="0"/>
                <w:sz w:val="21"/>
                <w:szCs w:val="21"/>
                <w:lang w:val="en-US" w:eastAsia="zh-CN" w:bidi="ar"/>
              </w:rPr>
              <w:t>辐射</w:t>
            </w:r>
          </w:p>
        </w:tc>
        <w:tc>
          <w:tcPr>
            <w:tcW w:w="7146" w:type="dxa"/>
            <w:noWrap w:val="0"/>
            <w:vAlign w:val="center"/>
          </w:tcPr>
          <w:p w14:paraId="56BCB20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本项目使用的Mobetron 2000 型术中放射治疗用移动式电子线术中直线加速器为自屏蔽式电子加速器，厂家自带完整铅钢复合自屏蔽体，可有效屏蔽主射束、泄漏与散射辐射</w:t>
            </w:r>
            <w:r>
              <w:rPr>
                <w:rFonts w:hint="eastAsia" w:ascii="Times New Roman" w:hAnsi="Times New Roman" w:cs="Times New Roman"/>
                <w:sz w:val="21"/>
                <w:szCs w:val="21"/>
                <w:lang w:val="en-US" w:eastAsia="zh-CN"/>
              </w:rPr>
              <w:t>。放疗手术室屏蔽防护设计，放疗手术室东墙为200mm红砖+80mm硫酸钡涂层；北墙为200mm红砖+80mm硫酸钡涂层；西墙为200mm红砖+80mm硫酸钡涂层；南墙为200mm红砖+80mm硫酸钡涂层；顶部为120mm砼+80mm硫酸钡涂料；底部为120mm砼+80mm硫酸钡涂料；防护门内嵌4mm铅板。</w:t>
            </w:r>
          </w:p>
        </w:tc>
      </w:tr>
      <w:tr w14:paraId="53E7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001E0D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240984E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废水</w:t>
            </w:r>
          </w:p>
        </w:tc>
        <w:tc>
          <w:tcPr>
            <w:tcW w:w="7146" w:type="dxa"/>
            <w:noWrap w:val="0"/>
            <w:vAlign w:val="center"/>
          </w:tcPr>
          <w:p w14:paraId="2006BC3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1"/>
                <w:szCs w:val="21"/>
                <w:lang w:val="en-US" w:eastAsia="zh-CN"/>
              </w:rPr>
            </w:pPr>
            <w:r>
              <w:rPr>
                <w:rFonts w:hint="eastAsia" w:ascii="Times New Roman" w:hAnsi="Times New Roman" w:cs="Times New Roman"/>
                <w:color w:val="auto"/>
                <w:kern w:val="0"/>
                <w:sz w:val="21"/>
                <w:szCs w:val="21"/>
                <w:lang w:val="en-US" w:eastAsia="zh-CN" w:bidi="ar"/>
              </w:rPr>
              <w:t>废水依托医院现有医疗废水处理设备处理达到《医疗机构水污染物排放标准》（GB18466-2005）表2预处理排放标准要求后，纳入市政污水管网集中处理。</w:t>
            </w:r>
          </w:p>
        </w:tc>
      </w:tr>
      <w:tr w14:paraId="7E93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dxa"/>
            <w:vMerge w:val="continue"/>
            <w:noWrap w:val="0"/>
            <w:vAlign w:val="center"/>
          </w:tcPr>
          <w:p w14:paraId="02EAD94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p>
        </w:tc>
        <w:tc>
          <w:tcPr>
            <w:tcW w:w="777" w:type="dxa"/>
            <w:noWrap w:val="0"/>
            <w:vAlign w:val="center"/>
          </w:tcPr>
          <w:p w14:paraId="6E9964D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kern w:val="0"/>
                <w:sz w:val="21"/>
                <w:szCs w:val="21"/>
                <w:lang w:bidi="ar"/>
              </w:rPr>
            </w:pPr>
            <w:r>
              <w:rPr>
                <w:rFonts w:hint="default" w:ascii="Times New Roman" w:hAnsi="Times New Roman" w:cs="Times New Roman"/>
                <w:color w:val="auto"/>
                <w:kern w:val="0"/>
                <w:sz w:val="21"/>
                <w:szCs w:val="21"/>
                <w:lang w:bidi="ar"/>
              </w:rPr>
              <w:t>固废</w:t>
            </w:r>
          </w:p>
        </w:tc>
        <w:tc>
          <w:tcPr>
            <w:tcW w:w="7146" w:type="dxa"/>
            <w:noWrap w:val="0"/>
            <w:vAlign w:val="center"/>
          </w:tcPr>
          <w:p w14:paraId="2C76C2B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lang w:val="en-US" w:eastAsia="zh-CN"/>
              </w:rPr>
            </w:pPr>
            <w:r>
              <w:rPr>
                <w:rFonts w:hint="eastAsia"/>
                <w:sz w:val="21"/>
                <w:szCs w:val="21"/>
              </w:rPr>
              <w:t>医疗废物暂存在各自手术室中的垃圾桶，手术结束集中收集后作为普通医疗废物处理。</w:t>
            </w:r>
          </w:p>
        </w:tc>
      </w:tr>
    </w:tbl>
    <w:p w14:paraId="60A096A1">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32"/>
          <w:lang w:val="en-US" w:eastAsia="zh-CN"/>
        </w:rPr>
      </w:pPr>
    </w:p>
    <w:p w14:paraId="1871A88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bCs/>
          <w:color w:val="000000"/>
          <w:sz w:val="24"/>
          <w:szCs w:val="24"/>
          <w:lang w:val="en-US" w:eastAsia="zh-CN"/>
          <w14:textFill>
            <w14:solidFill>
              <w14:srgbClr w14:val="000000">
                <w14:lumMod w14:val="95000"/>
                <w14:lumOff w14:val="5000"/>
              </w14:srgbClr>
            </w14:solidFill>
          </w14:textFill>
        </w:rPr>
        <w:t>五</w:t>
      </w: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、环境影响</w:t>
      </w:r>
      <w:r>
        <w:rPr>
          <w:rFonts w:hint="eastAsia" w:ascii="Times New Roman" w:hAnsi="Times New Roman" w:cs="Times New Roman"/>
          <w:b/>
          <w:bCs/>
          <w:color w:val="000000"/>
          <w:sz w:val="24"/>
          <w:szCs w:val="24"/>
          <w:lang w:val="en-US" w:eastAsia="zh-CN"/>
          <w14:textFill>
            <w14:solidFill>
              <w14:srgbClr w14:val="000000">
                <w14:lumMod w14:val="95000"/>
                <w14:lumOff w14:val="5000"/>
              </w14:srgbClr>
            </w14:solidFill>
          </w14:textFill>
        </w:rPr>
        <w:t>评价报告初步结论</w:t>
      </w:r>
    </w:p>
    <w:p w14:paraId="642ED54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本项目</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配备1台Mobetron2000型术中放射治疗用移动式电子线术中直线加速器，用于动物全身肿瘤术中放射治疗。该设备为自屏蔽式电子直线加速器，铅钢复合屏蔽包裹加速管、靶、准直器，主射束外泄漏辐射被设备自身屏蔽。</w:t>
      </w:r>
    </w:p>
    <w:p w14:paraId="1F64F9A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根据理论计算和类比分析，本项目术中放疗专用加速器的韧致辐射所致专用手术室外的X-γ辐射剂量率满足《放射治疗放射防护要求》（GBZ 121-2020）中“人员居留因子T≥1/2的场所，Hcmax≤10μSv/h；人员居留因子T＜1/2的场所，Hcmax≤20μSv/h”的要求。本项目术中放疗辐射工作人员年有效剂量最大值约为0.022mSv，周围公众年有效剂量最大值约为0.066mSv，能够满足《电离辐射防护与辐射源安全基本标准》（GB18871-2002）和本项目管理目标（职业人员年有效剂量不超过5mSv，公众年有效剂量不超过0.1mSv）的剂量限值要求。</w:t>
      </w:r>
    </w:p>
    <w:p w14:paraId="27BA0A6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建设项目符合国家相关法律规定和产业政策，建设目的明确、理由正当。项目运行期间采取的辐射防护和环境保护措施有效可行，电离辐射对工作人员和公众所致辐射剂量均低于其各自的剂量约束值。因此，在有效落实环评报告中提出的各项辐射防护和环境保护措施以及各项辐射安全管理制度后，将具有从事本次核技术利用活动的技术能力和辐射安全防护能力。从环境保护的角度分析，本项目的建设可行。</w:t>
      </w:r>
    </w:p>
    <w:p w14:paraId="61024C2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bCs/>
          <w:color w:val="000000"/>
          <w:sz w:val="24"/>
          <w:szCs w:val="24"/>
          <w:lang w:val="en-US" w:eastAsia="zh-CN"/>
          <w14:textFill>
            <w14:solidFill>
              <w14:srgbClr w14:val="000000">
                <w14:lumMod w14:val="95000"/>
                <w14:lumOff w14:val="5000"/>
              </w14:srgbClr>
            </w14:solidFill>
          </w14:textFill>
        </w:rPr>
        <w:t>六</w:t>
      </w: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、公众查阅环境影响报告书简本的方式和期限</w:t>
      </w:r>
    </w:p>
    <w:p w14:paraId="6AAEDAA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公众如需查阅相关信息，可致电建设单位或环评单位</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，时限自</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本公示发布之日起至202</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6</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年</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7</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月</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2</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日。</w:t>
      </w:r>
    </w:p>
    <w:p w14:paraId="1B0CE65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bCs/>
          <w:color w:val="000000"/>
          <w:sz w:val="24"/>
          <w:szCs w:val="24"/>
          <w:lang w:val="en-US" w:eastAsia="zh-CN"/>
          <w14:textFill>
            <w14:solidFill>
              <w14:srgbClr w14:val="000000">
                <w14:lumMod w14:val="95000"/>
                <w14:lumOff w14:val="5000"/>
              </w14:srgbClr>
            </w14:solidFill>
          </w14:textFill>
        </w:rPr>
        <w:t>七</w:t>
      </w: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、征求公众意见的范围和主要</w:t>
      </w:r>
      <w:r>
        <w:rPr>
          <w:rFonts w:hint="eastAsia" w:ascii="Times New Roman" w:hAnsi="Times New Roman" w:cs="Times New Roman"/>
          <w:b/>
          <w:bCs/>
          <w:color w:val="000000"/>
          <w:sz w:val="24"/>
          <w:szCs w:val="24"/>
          <w:lang w:val="en-US" w:eastAsia="zh-CN"/>
          <w14:textFill>
            <w14:solidFill>
              <w14:srgbClr w14:val="000000">
                <w14:lumMod w14:val="95000"/>
                <w14:lumOff w14:val="5000"/>
              </w14:srgbClr>
            </w14:solidFill>
          </w14:textFill>
        </w:rPr>
        <w:t>事项</w:t>
      </w:r>
    </w:p>
    <w:p w14:paraId="039BA89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本项目环评公众参与将征求项目评价范围内的公民、法人或者其他组织的代表等对本项目的意见和建议，征求公众意见的主要内容包括公众关心的主要环境问题、项目建设对周边环境可能产生的影响以及对本项目的环境保护工作的其他意见或建议等。公众意见表见网页公示附件。</w:t>
      </w:r>
    </w:p>
    <w:p w14:paraId="7143923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八、征求公众意见的具体形式</w:t>
      </w:r>
    </w:p>
    <w:p w14:paraId="33162A1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公众可通过发送信函、传真、电子邮件或电话等方式向建设单位、环境影响评价单位反映意见或建议。</w:t>
      </w:r>
    </w:p>
    <w:p w14:paraId="3697E0C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九、公众提出意见的起止时间</w:t>
      </w:r>
    </w:p>
    <w:p w14:paraId="7CB6FF8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公众提出意见的时间自202</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6</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年0</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6</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月</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17</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日起至202</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6</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年</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07</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月</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02</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日。</w:t>
      </w:r>
    </w:p>
    <w:p w14:paraId="2AAEBB2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bCs/>
          <w:color w:val="000000"/>
          <w:sz w:val="24"/>
          <w:szCs w:val="24"/>
          <w:lang w:val="en-US" w:eastAsia="zh-CN"/>
          <w14:textFill>
            <w14:solidFill>
              <w14:srgbClr w14:val="000000">
                <w14:lumMod w14:val="95000"/>
                <w14:lumOff w14:val="5000"/>
              </w14:srgbClr>
            </w14:solidFill>
          </w14:textFill>
        </w:rPr>
        <w:t>十、联系方式</w:t>
      </w:r>
    </w:p>
    <w:p w14:paraId="0A58A4C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（1）建设单位</w:t>
      </w:r>
    </w:p>
    <w:p w14:paraId="477D8A7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建设单位名称：杭州张旭滨和动物医院有限公司</w:t>
      </w:r>
    </w:p>
    <w:p w14:paraId="6C66254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联系地址：浙江省杭州市滨江区滨和路998号中赢国际</w:t>
      </w:r>
    </w:p>
    <w:p w14:paraId="557839B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联系人：</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张院</w:t>
      </w:r>
    </w:p>
    <w:p w14:paraId="6FEE406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联系电话：0571</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86873458</w:t>
      </w:r>
    </w:p>
    <w:p w14:paraId="058FC3B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（2）环评单位</w:t>
      </w:r>
    </w:p>
    <w:p w14:paraId="7515B1C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单位名称：</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浙江省环境科技股份有限公司</w:t>
      </w:r>
    </w:p>
    <w:p w14:paraId="2F2EDAB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单位地址：</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浙江省杭州市西湖区三墩镇浙谷深蓝6号楼</w:t>
      </w:r>
    </w:p>
    <w:p w14:paraId="6F2EC8F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联系人：</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王</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工</w:t>
      </w:r>
    </w:p>
    <w:p w14:paraId="56A7EE5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联系电话：</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17280728270</w:t>
      </w:r>
    </w:p>
    <w:p w14:paraId="15A6E50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E-mail：</w:t>
      </w: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wangqian21y@163.com</w:t>
      </w:r>
    </w:p>
    <w:p w14:paraId="7CE41EE5">
      <w:pPr>
        <w:keepNext w:val="0"/>
        <w:keepLines w:val="0"/>
        <w:pageBreakBefore w:val="0"/>
        <w:widowControl w:val="0"/>
        <w:numPr>
          <w:numId w:val="0"/>
        </w:numPr>
        <w:tabs>
          <w:tab w:val="right" w:pos="7826"/>
        </w:tabs>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p>
    <w:p w14:paraId="453A9829">
      <w:pPr>
        <w:keepNext w:val="0"/>
        <w:keepLines w:val="0"/>
        <w:pageBreakBefore w:val="0"/>
        <w:widowControl w:val="0"/>
        <w:numPr>
          <w:numId w:val="0"/>
        </w:numPr>
        <w:tabs>
          <w:tab w:val="right" w:pos="7826"/>
        </w:tabs>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p>
    <w:p w14:paraId="044DA9D0">
      <w:pPr>
        <w:keepNext w:val="0"/>
        <w:keepLines w:val="0"/>
        <w:pageBreakBefore w:val="0"/>
        <w:widowControl w:val="0"/>
        <w:numPr>
          <w:numId w:val="0"/>
        </w:numPr>
        <w:tabs>
          <w:tab w:val="right" w:pos="7826"/>
        </w:tabs>
        <w:kinsoku/>
        <w:wordWrap/>
        <w:overflowPunct/>
        <w:topLinePunct w:val="0"/>
        <w:autoSpaceDE/>
        <w:autoSpaceDN/>
        <w:bidi w:val="0"/>
        <w:adjustRightInd/>
        <w:snapToGrid/>
        <w:spacing w:line="360" w:lineRule="auto"/>
        <w:ind w:firstLine="480" w:firstLineChars="200"/>
        <w:jc w:val="right"/>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公示发布单位：</w:t>
      </w:r>
      <w:r>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杭州张旭滨和动物医院有限公司</w:t>
      </w:r>
    </w:p>
    <w:p w14:paraId="42B31BD6">
      <w:pPr>
        <w:keepNext w:val="0"/>
        <w:keepLines w:val="0"/>
        <w:pageBreakBefore w:val="0"/>
        <w:widowControl w:val="0"/>
        <w:numPr>
          <w:numId w:val="0"/>
        </w:numPr>
        <w:tabs>
          <w:tab w:val="right" w:pos="7826"/>
        </w:tabs>
        <w:kinsoku/>
        <w:wordWrap/>
        <w:overflowPunct/>
        <w:topLinePunct w:val="0"/>
        <w:autoSpaceDE/>
        <w:autoSpaceDN/>
        <w:bidi w:val="0"/>
        <w:adjustRightInd/>
        <w:snapToGrid/>
        <w:spacing w:line="360" w:lineRule="auto"/>
        <w:ind w:firstLine="480" w:firstLineChars="200"/>
        <w:jc w:val="right"/>
        <w:textAlignment w:val="auto"/>
        <w:rPr>
          <w:rFonts w:hint="default"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pPr>
      <w:r>
        <w:rPr>
          <w:rFonts w:hint="eastAsia" w:ascii="Times New Roman" w:hAnsi="Times New Roman" w:cs="Times New Roman"/>
          <w:b w:val="0"/>
          <w:bCs w:val="0"/>
          <w:color w:val="000000"/>
          <w:sz w:val="24"/>
          <w:szCs w:val="24"/>
          <w:lang w:val="en-US" w:eastAsia="zh-CN"/>
          <w14:textFill>
            <w14:solidFill>
              <w14:srgbClr w14:val="000000">
                <w14:lumMod w14:val="95000"/>
                <w14:lumOff w14:val="5000"/>
              </w14:srgbClr>
            </w14:solidFill>
          </w14:textFill>
        </w:rPr>
        <w:t>公示发布时间：2026年6月17日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858EC"/>
    <w:multiLevelType w:val="singleLevel"/>
    <w:tmpl w:val="D4E858EC"/>
    <w:lvl w:ilvl="0" w:tentative="0">
      <w:start w:val="1"/>
      <w:numFmt w:val="decimal"/>
      <w:suff w:val="nothing"/>
      <w:lvlText w:val="（%1）"/>
      <w:lvlJc w:val="left"/>
    </w:lvl>
  </w:abstractNum>
  <w:abstractNum w:abstractNumId="1">
    <w:nsid w:val="FDD96D20"/>
    <w:multiLevelType w:val="singleLevel"/>
    <w:tmpl w:val="FDD96D20"/>
    <w:lvl w:ilvl="0" w:tentative="0">
      <w:start w:val="1"/>
      <w:numFmt w:val="chineseCounting"/>
      <w:suff w:val="nothing"/>
      <w:lvlText w:val="%1、"/>
      <w:lvlJc w:val="left"/>
      <w:rPr>
        <w:rFonts w:hint="eastAsia"/>
      </w:rPr>
    </w:lvl>
  </w:abstractNum>
  <w:abstractNum w:abstractNumId="2">
    <w:nsid w:val="28D4271B"/>
    <w:multiLevelType w:val="singleLevel"/>
    <w:tmpl w:val="28D4271B"/>
    <w:lvl w:ilvl="0" w:tentative="0">
      <w:start w:val="2"/>
      <w:numFmt w:val="decimal"/>
      <w:suff w:val="nothing"/>
      <w:lvlText w:val="%1、"/>
      <w:lvlJc w:val="left"/>
    </w:lvl>
  </w:abstractNum>
  <w:abstractNum w:abstractNumId="3">
    <w:nsid w:val="50307658"/>
    <w:multiLevelType w:val="singleLevel"/>
    <w:tmpl w:val="50307658"/>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020686"/>
    <w:rsid w:val="05CB2336"/>
    <w:rsid w:val="162C6AF9"/>
    <w:rsid w:val="1AD804B9"/>
    <w:rsid w:val="214D1E89"/>
    <w:rsid w:val="31020686"/>
    <w:rsid w:val="44BD4C3D"/>
    <w:rsid w:val="5AB0205D"/>
    <w:rsid w:val="5AC01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rPr>
      <w:rFonts w:ascii="Times New Roman" w:hAnsi="Times New Roman" w:eastAsia="宋体"/>
      <w:sz w:val="24"/>
    </w:rPr>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able Text"/>
    <w:basedOn w:val="1"/>
    <w:semiHidden/>
    <w:qFormat/>
    <w:uiPriority w:val="0"/>
    <w:pPr>
      <w:snapToGrid w:val="0"/>
      <w:spacing w:line="240" w:lineRule="auto"/>
      <w:ind w:firstLine="0" w:firstLineChars="0"/>
      <w:jc w:val="center"/>
    </w:pPr>
    <w:rPr>
      <w:rFonts w:ascii="Times New Roman" w:hAnsi="Times New Roman" w:eastAsia="宋体" w:cs="宋体"/>
      <w:color w:val="000000"/>
      <w:sz w:val="21"/>
      <w:szCs w:val="20"/>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2026-06-16T07:33:00Z</dcterms:created>
  <dc:creator>郑光雨</dc:creator>
  <cp:lastModifiedBy>郑光雨</cp:lastModifiedBy>
  <dcterms:modified xsi:type="dcterms:W3CDTF">2026-06-16T09:36:49Z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A4385F8D7A624B4EAF567ACEC0898C31_11</vt:lpwstr>
  </property>
  <property fmtid="{D5CDD505-2E9C-101B-9397-08002B2CF9AE}" pid="4" name="KSOTemplateDocerSaveRecord">
    <vt:lpwstr>eyJoZGlkIjoiMWYxNDk4Mzk0NjczZjk4YmYyMDgzZjQ1NWU3OGQ0ZDkiLCJ1c2VySWQiOiIzMTQxNTUwNzQifQ==</vt:lpwstr>
  </property>
</Properties>
</file>