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Shared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 (46%)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111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1174 (83%)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2136 (98%)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167 (91%)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 (86%)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832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622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1427 (50%)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2998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1997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1641 (25%)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1130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430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2948 (65%)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653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1663 (63%)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623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3206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498 (12%)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1037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886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2265 (54%)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7,674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2780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2458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2436 (32%)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895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2099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1850 (38%)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1670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1865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1756 (33%)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5,557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1036 (19%)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2390 (43%)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2131 (38%)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2026-05-18T17:05:17Z</dcterms:modified>
  <cp:category/>
</cp:coreProperties>
</file>