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Shared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Inshore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Offshore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(46%)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111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1174 (83%)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2136 (98%)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 (91%)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 (86%)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832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1427 (50%)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2998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1997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1641 (25%)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1130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430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2948 (65%)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653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1663 (63%)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623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3206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498 (12%)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2265 (54%)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2780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2458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2436 (32%)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4,844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895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2099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1850 (38%)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1670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1865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1756 (33%)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T5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5,557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1036 (19%)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2390 (43%)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2131 (38%)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2026-09-21T10:55:41Z</dcterms:modified>
  <cp:category/>
</cp:coreProperties>
</file>