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Timepoint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Temperature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Shared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Inshore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Offshore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26 (52%)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23 (46%)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111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127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1174 (83%)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29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23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2136 (98%)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12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167 (91%)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44 (86%)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832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622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1427 (50%)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2998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1997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1641 (25%)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4,508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1130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430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2948 (65%)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2,653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653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1663 (63%)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4,327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623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3206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498 (12%)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4,188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1037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886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2265 (54%)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7,674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2780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2458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2436 (32%)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4,844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895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2099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1850 (38%)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5,291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1670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1865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1756 (33%)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39.00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5,557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1036 (19%)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2390 (43%)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2131 (38%)</w:t>
            </w:r>
          </w:p>
        </w:tc>
      </w:tr>
    </w:tbl>
    <w:sectPr w:officer="true"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2025-10-19T11:12:36Z</dcterms:modified>
  <cp:category/>
</cp:coreProperties>
</file>