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7690C7" w14:textId="333B8A7B" w:rsidR="00C06AD5" w:rsidRPr="00C06AD5" w:rsidRDefault="00C06AD5">
      <w:pPr>
        <w:rPr>
          <w:b/>
          <w:bCs/>
          <w:noProof/>
        </w:rPr>
      </w:pPr>
      <w:r>
        <w:rPr>
          <w:b/>
          <w:bCs/>
          <w:noProof/>
        </w:rPr>
        <w:t>Example 1</w:t>
      </w:r>
    </w:p>
    <w:p w14:paraId="19A0C6C4" w14:textId="6FD22F89" w:rsidR="00C06AD5" w:rsidRDefault="00C06AD5">
      <w:r>
        <w:rPr>
          <w:noProof/>
        </w:rPr>
        <w:drawing>
          <wp:inline distT="0" distB="0" distL="0" distR="0" wp14:anchorId="0A0456B7" wp14:editId="7369FD6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5149" w14:textId="1A863B91" w:rsidR="00C06AD5" w:rsidRDefault="00C06AD5">
      <w:r>
        <w:rPr>
          <w:noProof/>
        </w:rPr>
        <w:drawing>
          <wp:inline distT="0" distB="0" distL="0" distR="0" wp14:anchorId="14039090" wp14:editId="29A7842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EA44" w14:textId="74F41C71" w:rsidR="00C06AD5" w:rsidRDefault="00C06AD5">
      <w:r>
        <w:rPr>
          <w:noProof/>
        </w:rPr>
        <w:lastRenderedPageBreak/>
        <w:drawing>
          <wp:inline distT="0" distB="0" distL="0" distR="0" wp14:anchorId="1D1AC1BF" wp14:editId="10D5CBB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DC57" w14:textId="77777777" w:rsidR="00C06AD5" w:rsidRDefault="00C06AD5">
      <w:pPr>
        <w:rPr>
          <w:noProof/>
        </w:rPr>
      </w:pPr>
    </w:p>
    <w:p w14:paraId="53F3FE68" w14:textId="7F4E913C" w:rsidR="00C06AD5" w:rsidRDefault="00C06AD5">
      <w:r>
        <w:rPr>
          <w:noProof/>
        </w:rPr>
        <w:drawing>
          <wp:inline distT="0" distB="0" distL="0" distR="0" wp14:anchorId="754B57CA" wp14:editId="14E585F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B951" w14:textId="6B4C39A7" w:rsidR="00C06AD5" w:rsidRDefault="00C06AD5"/>
    <w:p w14:paraId="664CBDBE" w14:textId="29180874" w:rsidR="00C06AD5" w:rsidRDefault="00C06AD5"/>
    <w:p w14:paraId="1A09093C" w14:textId="67B3F406" w:rsidR="00C06AD5" w:rsidRDefault="00C06AD5"/>
    <w:p w14:paraId="5868C551" w14:textId="7505AF89" w:rsidR="00C06AD5" w:rsidRDefault="00C06AD5">
      <w:pPr>
        <w:rPr>
          <w:b/>
          <w:bCs/>
        </w:rPr>
      </w:pPr>
      <w:r>
        <w:rPr>
          <w:b/>
          <w:bCs/>
        </w:rPr>
        <w:lastRenderedPageBreak/>
        <w:t>Example 2</w:t>
      </w:r>
      <w:r>
        <w:rPr>
          <w:noProof/>
        </w:rPr>
        <w:drawing>
          <wp:inline distT="0" distB="0" distL="0" distR="0" wp14:anchorId="1B1D2D27" wp14:editId="21BD221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15F3" w14:textId="1691296A" w:rsidR="00C06AD5" w:rsidRDefault="00C06AD5">
      <w:pPr>
        <w:rPr>
          <w:b/>
          <w:bCs/>
        </w:rPr>
      </w:pPr>
      <w:r>
        <w:rPr>
          <w:noProof/>
        </w:rPr>
        <w:drawing>
          <wp:inline distT="0" distB="0" distL="0" distR="0" wp14:anchorId="5EBCFFB4" wp14:editId="096C309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7417" w14:textId="3481BB75" w:rsidR="00C06AD5" w:rsidRDefault="00C06AD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F8939E" wp14:editId="21FE514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5217" w14:textId="5C22B955" w:rsidR="00C06AD5" w:rsidRDefault="00C06AD5">
      <w:pPr>
        <w:rPr>
          <w:b/>
          <w:bCs/>
        </w:rPr>
      </w:pPr>
      <w:r>
        <w:rPr>
          <w:noProof/>
        </w:rPr>
        <w:drawing>
          <wp:inline distT="0" distB="0" distL="0" distR="0" wp14:anchorId="7B2119F7" wp14:editId="2796B82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C892" w14:textId="2EFB331C" w:rsidR="00C06AD5" w:rsidRDefault="00C06AD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2F56D5" wp14:editId="0D41C3A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8C6A" w14:textId="66B873FF" w:rsidR="00C06AD5" w:rsidRDefault="00C06AD5">
      <w:pPr>
        <w:rPr>
          <w:b/>
          <w:bCs/>
        </w:rPr>
      </w:pPr>
      <w:r>
        <w:rPr>
          <w:noProof/>
        </w:rPr>
        <w:drawing>
          <wp:inline distT="0" distB="0" distL="0" distR="0" wp14:anchorId="0927789B" wp14:editId="05BAB4D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D9F3" w14:textId="7EE878A5" w:rsidR="00C06AD5" w:rsidRDefault="00C06AD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32E45BC" wp14:editId="0097B03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4422" w14:textId="38DFE233" w:rsidR="006F236E" w:rsidRPr="006F236E" w:rsidRDefault="006F236E">
      <w:r>
        <w:t>Notice that a section called “Usage” (the header’s font color is dark blue) is also highlighted. Other sections with a dark blue heading include “Register,” “Grammar,” “Common Errors,” “Thesaurus,” and “Collocations.”</w:t>
      </w:r>
    </w:p>
    <w:p w14:paraId="7DD7D8DB" w14:textId="2E21D87D" w:rsidR="00C06AD5" w:rsidRDefault="00C06AD5">
      <w:pPr>
        <w:rPr>
          <w:b/>
          <w:bCs/>
        </w:rPr>
      </w:pPr>
      <w:r>
        <w:rPr>
          <w:noProof/>
        </w:rPr>
        <w:drawing>
          <wp:inline distT="0" distB="0" distL="0" distR="0" wp14:anchorId="05170C25" wp14:editId="23EBF4F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F9B1" w14:textId="2382BFD4" w:rsidR="00C06AD5" w:rsidRPr="006F236E" w:rsidRDefault="00C06AD5">
      <w:pPr>
        <w:rPr>
          <w:b/>
          <w:bCs/>
          <w:vertAlign w:val="subscript"/>
        </w:rPr>
      </w:pPr>
      <w:r>
        <w:rPr>
          <w:noProof/>
        </w:rPr>
        <w:lastRenderedPageBreak/>
        <w:drawing>
          <wp:inline distT="0" distB="0" distL="0" distR="0" wp14:anchorId="6A05E12F" wp14:editId="00EF027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AD5" w:rsidRPr="006F23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AD5"/>
    <w:rsid w:val="006F236E"/>
    <w:rsid w:val="00C06AD5"/>
    <w:rsid w:val="00DB1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132E8"/>
  <w15:chartTrackingRefBased/>
  <w15:docId w15:val="{2DDDC874-3894-4C0E-8FBD-543899F24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2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ELMER WEI</dc:creator>
  <cp:keywords/>
  <dc:description/>
  <cp:lastModifiedBy>ELMER WEI</cp:lastModifiedBy>
  <cp:revision>1</cp:revision>
  <dcterms:created xsi:type="dcterms:W3CDTF">2021-02-10T14:18:00Z</dcterms:created>
  <dcterms:modified xsi:type="dcterms:W3CDTF">2021-02-10T15:05:00Z</dcterms:modified>
</cp:coreProperties>
</file>