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p>
    <w:bookmarkStart w:id="20" w:name="abstract"/>
    <w:p>
      <w:pPr>
        <w:pStyle w:val="Heading1"/>
      </w:pPr>
      <w:r>
        <w:t xml:space="preserve">Abstract</w:t>
      </w:r>
    </w:p>
    <w:p>
      <w:pPr>
        <w:pStyle w:val="FirstParagraph"/>
      </w:pPr>
      <w:r>
        <w:t xml:space="preserve">Abstract goes here. Length depends on journal.</w:t>
      </w:r>
    </w:p>
    <w:p>
      <w:r>
        <w:br w:type="page"/>
      </w:r>
    </w:p>
    <w:bookmarkEnd w:id="20"/>
    <w:bookmarkStart w:id="25" w:name="cool-title"/>
    <w:p>
      <w:pPr>
        <w:pStyle w:val="Heading1"/>
      </w:pPr>
      <w:r>
        <w:t xml:space="preserve">Cool Title</w:t>
      </w:r>
    </w:p>
    <w:bookmarkStart w:id="21" w:name="introduction"/>
    <w:p>
      <w:pPr>
        <w:pStyle w:val="Heading2"/>
      </w:pPr>
      <w:r>
        <w:t xml:space="preserve">Introduction</w:t>
      </w:r>
    </w:p>
    <w:p>
      <w:pPr>
        <w:pStyle w:val="FirstParagraph"/>
      </w:pPr>
      <w:r>
        <w:t xml:space="preserve">Introduction goes here.</w:t>
      </w:r>
    </w:p>
    <w:bookmarkEnd w:id="21"/>
    <w:bookmarkStart w:id="22" w:name="Xa0ef4976aa743d69b4075c856f1c3e29387e3e9"/>
    <w:p>
      <w:pPr>
        <w:pStyle w:val="Heading2"/>
      </w:pPr>
      <w:r>
        <w:t xml:space="preserve">Cognate Facilitation Effects in Bilingual Populations</w:t>
      </w:r>
    </w:p>
    <w:p>
      <w:pPr>
        <w:pStyle w:val="FirstParagraph"/>
      </w:pPr>
      <w:r>
        <w:t xml:space="preserve">A large body of research has examined how lexical representations are activated across languages, particularly in bilingual populations, where cognates have been shown to facilitate lexical processing.</w:t>
      </w:r>
      <w:r>
        <w:t xml:space="preserve"> </w:t>
      </w:r>
      <w:r>
        <w:t xml:space="preserve">However, comparatively less is known about how such cross-linguistic activation operates in L3 speakers, where multiple linguistic systems may simultaneously influence lexical activation and access.</w:t>
      </w:r>
      <w:r>
        <w:t xml:space="preserve"> </w:t>
      </w:r>
      <w:r>
        <w:t xml:space="preserve">The extensive research on L1-L2 cognate effects provides a valuable foundation for understanding cross-linguistic interactions in L3 contexts.</w:t>
      </w:r>
    </w:p>
    <w:p>
      <w:pPr>
        <w:pStyle w:val="BodyText"/>
      </w:pPr>
      <w:r>
        <w:t xml:space="preserve">Research on bilingual populations using a wide range of experimental tasks has consistently observed robust cognate facilitation effects in word recognition in the visual and aural modality as well as in language production.</w:t>
      </w:r>
      <w:r>
        <w:t xml:space="preserve"> </w:t>
      </w:r>
      <w:r>
        <w:t xml:space="preserve">For instance, available evidence shows that cognates are learned and retrieved faster than noncognates</w:t>
      </w:r>
      <w:r>
        <w:t xml:space="preserve"> </w:t>
      </w:r>
      <w:r>
        <w:t xml:space="preserve">(e.g., Ellis &amp; Beaton, 1993; Lotto &amp; Groot, 1998; Otwinowska &amp; Szewczyk, 2019; Tonzar, Lotto, &amp; Job, 2009)</w:t>
      </w:r>
      <w:r>
        <w:t xml:space="preserve">, and that cognates facilitate word naming</w:t>
      </w:r>
      <w:r>
        <w:t xml:space="preserve"> </w:t>
      </w:r>
      <w:r>
        <w:t xml:space="preserve">(A. Costa, Caramazza, &amp; Sebastian-Galles, 2000)</w:t>
      </w:r>
      <w:r>
        <w:t xml:space="preserve">, reading</w:t>
      </w:r>
      <w:r>
        <w:t xml:space="preserve"> </w:t>
      </w:r>
      <w:r>
        <w:t xml:space="preserve">(Cop, Drieghe, &amp; Duyck, 2015)</w:t>
      </w:r>
      <w:r>
        <w:t xml:space="preserve"> </w:t>
      </w:r>
      <w:r>
        <w:t xml:space="preserve">and writing</w:t>
      </w:r>
      <w:r>
        <w:t xml:space="preserve"> </w:t>
      </w:r>
      <w:r>
        <w:t xml:space="preserve">(Woumans, Clauws, &amp; Duyck, 2021)</w:t>
      </w:r>
      <w:r>
        <w:t xml:space="preserve"> </w:t>
      </w:r>
      <w:r>
        <w:t xml:space="preserve">in bilinguals and L2 learners.</w:t>
      </w:r>
      <w:r>
        <w:t xml:space="preserve"> </w:t>
      </w:r>
      <w:r>
        <w:t xml:space="preserve">However, cognates have also been found to be a source of cross-linguistic interference</w:t>
      </w:r>
      <w:r>
        <w:t xml:space="preserve"> </w:t>
      </w:r>
      <w:r>
        <w:t xml:space="preserve">(Amengual, 2012)</w:t>
      </w:r>
      <w:r>
        <w:t xml:space="preserve"> </w:t>
      </w:r>
      <w:r>
        <w:t xml:space="preserve">and in some cases produce inhibitory effects</w:t>
      </w:r>
      <w:r>
        <w:t xml:space="preserve"> </w:t>
      </w:r>
      <w:r>
        <w:t xml:space="preserve">(e.g., Dijkstra, Miwa, Brummelhuis, Sappelli, &amp; Baayen, 2010; Frances, Navarra-Barindelli, &amp; Martin, 2021, 2022)</w:t>
      </w:r>
      <w:r>
        <w:t xml:space="preserve">, indicating that cognate processing is not uniformly facilitative but instead reflects complex, context-dependent interactions across languages.</w:t>
      </w:r>
    </w:p>
    <w:p>
      <w:pPr>
        <w:pStyle w:val="BodyText"/>
      </w:pPr>
      <w:r>
        <w:t xml:space="preserve">Cognate effects are influenced by a range of linguistic, task-related, and speaker-specific factors.</w:t>
      </w:r>
      <w:r>
        <w:t xml:space="preserve"> </w:t>
      </w:r>
      <w:r>
        <w:t xml:space="preserve">At the linguistic level, the degree of cross-linguistic form overlap plays a central role in the cognate facilitation effect</w:t>
      </w:r>
      <w:r>
        <w:t xml:space="preserve"> </w:t>
      </w:r>
      <w:r>
        <w:t xml:space="preserve">(Carrasco-Ortiz, Amengual, &amp; Gries, 2021; Comesaña et al., 2015; Dijkstra et al., 2010; Garrido-Pozú, 2024)</w:t>
      </w:r>
      <w:r>
        <w:t xml:space="preserve">.</w:t>
      </w:r>
      <w:r>
        <w:t xml:space="preserve"> </w:t>
      </w:r>
      <w:r>
        <w:t xml:space="preserve">Greater orthographic similarity</w:t>
      </w:r>
      <w:r>
        <w:t xml:space="preserve"> </w:t>
      </w:r>
      <w:r>
        <w:t xml:space="preserve">(e.g., Aguinaga Echeverría, 2017; Otwinowska &amp; Szewczyk, 2019)</w:t>
      </w:r>
      <w:r>
        <w:t xml:space="preserve"> </w:t>
      </w:r>
      <w:r>
        <w:t xml:space="preserve">and phonological similarity</w:t>
      </w:r>
      <w:r>
        <w:t xml:space="preserve"> </w:t>
      </w:r>
      <w:r>
        <w:t xml:space="preserve">(Garrido-Pozú, 2024; Tiffin-Richards, 2024)</w:t>
      </w:r>
      <w:r>
        <w:t xml:space="preserve"> </w:t>
      </w:r>
      <w:r>
        <w:t xml:space="preserve">generally facilitate lexical processing; though in certain contexts orthographic and phonological similarity may have different roles depending on the modality of the experimental task</w:t>
      </w:r>
      <w:r>
        <w:t xml:space="preserve"> </w:t>
      </w:r>
      <w:r>
        <w:t xml:space="preserve">(Carrasco-Ortiz et al., 2021; Comesaña et al., 2015; Frances et al., 2021, 2022)</w:t>
      </w:r>
      <w:r>
        <w:t xml:space="preserve">.</w:t>
      </w:r>
      <w:r>
        <w:t xml:space="preserve"> </w:t>
      </w:r>
      <w:r>
        <w:t xml:space="preserve">In addition, lexical frequency also modulates the strength of cognate effects, with high-frequency cognates yielding faster and more accurate recognition than low-frequency cognates</w:t>
      </w:r>
      <w:r>
        <w:t xml:space="preserve"> </w:t>
      </w:r>
      <w:r>
        <w:t xml:space="preserve">(Carrasco-Ortiz et al., 2021; Peeters, Dijkstra, &amp; Grainger, 2013)</w:t>
      </w:r>
      <w:r>
        <w:t xml:space="preserve">.</w:t>
      </w:r>
      <w:r>
        <w:t xml:space="preserve"> </w:t>
      </w:r>
      <w:r>
        <w:t xml:space="preserve">Notably, cognate processing is affected by other linguistic factors such as sentence context</w:t>
      </w:r>
      <w:r>
        <w:t xml:space="preserve"> </w:t>
      </w:r>
      <w:r>
        <w:t xml:space="preserve">(Hell &amp; Groot, 2008)</w:t>
      </w:r>
      <w:r>
        <w:t xml:space="preserve"> </w:t>
      </w:r>
      <w:r>
        <w:t xml:space="preserve">and the position of lexical stress</w:t>
      </w:r>
      <w:r>
        <w:t xml:space="preserve"> </w:t>
      </w:r>
      <w:r>
        <w:t xml:space="preserve">(Muntendam, Rijswijk, Severijnen, &amp; Dijkstra, 2022)</w:t>
      </w:r>
      <w:r>
        <w:t xml:space="preserve">.</w:t>
      </w:r>
    </w:p>
    <w:p>
      <w:pPr>
        <w:pStyle w:val="BodyText"/>
      </w:pPr>
      <w:r>
        <w:t xml:space="preserve">Task-related factors further shape cognate effects, as such effects are sensitive to the composition of the stimulus list.</w:t>
      </w:r>
      <w:r>
        <w:t xml:space="preserve"> </w:t>
      </w:r>
      <w:r>
        <w:t xml:space="preserve">The strength of the cognate effect can decrease with the absence of identical cognates in the input</w:t>
      </w:r>
      <w:r>
        <w:t xml:space="preserve"> </w:t>
      </w:r>
      <w:r>
        <w:t xml:space="preserve">(Arana, Oliveira, Fernandes, Soares, &amp; Comesaña, 2022; Comesaña et al., 2015)</w:t>
      </w:r>
      <w:r>
        <w:t xml:space="preserve"> </w:t>
      </w:r>
      <w:r>
        <w:t xml:space="preserve">or with the inclusion of more varied lexical items</w:t>
      </w:r>
      <w:r>
        <w:t xml:space="preserve"> </w:t>
      </w:r>
      <w:r>
        <w:t xml:space="preserve">(Poort &amp; Rodd, 2017)</w:t>
      </w:r>
      <w:r>
        <w:t xml:space="preserve">.</w:t>
      </w:r>
      <w:r>
        <w:t xml:space="preserve"> </w:t>
      </w:r>
      <w:r>
        <w:t xml:space="preserve">Similarly, variations in task demands influence cognate effects as different tasks tap into different levels of processing and may require different cognitive mechanisms.</w:t>
      </w:r>
      <w:r>
        <w:t xml:space="preserve"> </w:t>
      </w:r>
      <w:r>
        <w:t xml:space="preserve">For instance, cognates are recognized faster in the written modality than in the auditory modality</w:t>
      </w:r>
      <w:r>
        <w:t xml:space="preserve"> </w:t>
      </w:r>
      <w:r>
        <w:t xml:space="preserve">(Cornut, Mahé, &amp; Casalis, 2022)</w:t>
      </w:r>
      <w:r>
        <w:t xml:space="preserve">, and while facilitation effects are typically observed in lexical decision tasks, inhibitory effects tend to emerge in language decision tasks</w:t>
      </w:r>
      <w:r>
        <w:t xml:space="preserve"> </w:t>
      </w:r>
      <w:r>
        <w:t xml:space="preserve">(Dijkstra et al., 2010)</w:t>
      </w:r>
      <w:r>
        <w:t xml:space="preserve">.</w:t>
      </w:r>
      <w:r>
        <w:t xml:space="preserve"> </w:t>
      </w:r>
      <w:r>
        <w:t xml:space="preserve">Moreover, speaker-specific factors like language proficiency and experience modulate the extent to which cognates facilitate or inhibit processing, with less proficient speakers often benefiting more from increased cross-linguistic similarity than more proficient speakers</w:t>
      </w:r>
      <w:r>
        <w:t xml:space="preserve"> </w:t>
      </w:r>
      <w:r>
        <w:t xml:space="preserve">(e.g., Cornut et al., 2022; Garrido-Pozú, 2024)</w:t>
      </w:r>
      <w:r>
        <w:t xml:space="preserve">.</w:t>
      </w:r>
      <w:r>
        <w:t xml:space="preserve"> </w:t>
      </w:r>
      <w:r>
        <w:t xml:space="preserve">Other individual differences such as speaker accent</w:t>
      </w:r>
      <w:r>
        <w:t xml:space="preserve"> </w:t>
      </w:r>
      <w:r>
        <w:t xml:space="preserve">(Frances et al., 2022)</w:t>
      </w:r>
      <w:r>
        <w:t xml:space="preserve"> </w:t>
      </w:r>
      <w:r>
        <w:t xml:space="preserve">and language dominance</w:t>
      </w:r>
      <w:r>
        <w:t xml:space="preserve"> </w:t>
      </w:r>
      <w:r>
        <w:t xml:space="preserve">(Carrasco-Ortiz et al., 2021)</w:t>
      </w:r>
      <w:r>
        <w:t xml:space="preserve"> </w:t>
      </w:r>
      <w:r>
        <w:t xml:space="preserve">also interact with the effects of increased cross-linguistic similarity.</w:t>
      </w:r>
      <w:r>
        <w:t xml:space="preserve"> </w:t>
      </w:r>
      <w:r>
        <w:t xml:space="preserve">Together, these findings suggest that cognate effects emerge from dynamic interactions among multiple sources of influence, rather than reflecting a stable or uniform processing advantage.</w:t>
      </w:r>
      <w:r>
        <w:t xml:space="preserve"> </w:t>
      </w:r>
    </w:p>
    <w:bookmarkEnd w:id="22"/>
    <w:bookmarkStart w:id="23" w:name="X1b13b08d22823258dbc3e067a58ea940446a5d8"/>
    <w:p>
      <w:pPr>
        <w:pStyle w:val="Heading2"/>
      </w:pPr>
      <w:r>
        <w:t xml:space="preserve">Cross-linguistic Similarity in L3 Lexical Processing</w:t>
      </w:r>
    </w:p>
    <w:p>
      <w:pPr>
        <w:pStyle w:val="FirstParagraph"/>
      </w:pPr>
      <w:r>
        <w:t xml:space="preserve">While cognate processing is well documented in bilingual populations, cognate effects in third language (L3) contexts remain less clear.</w:t>
      </w:r>
      <w:r>
        <w:t xml:space="preserve"> </w:t>
      </w:r>
      <w:r>
        <w:t xml:space="preserve"> </w:t>
      </w:r>
      <w:r>
        <w:t xml:space="preserve">Unlike bilinguals, L3 learners must manage interactions among three linguistic systems, which amplifies the complexity of cognate effects in multilingual contexts and raises important questions about the source and direction of cross-linguistic influence.</w:t>
      </w:r>
      <w:r>
        <w:t xml:space="preserve"> </w:t>
      </w:r>
      <w:r>
        <w:t xml:space="preserve">Notably, two hypotheses have been put forward regarding the source of cross-linguistic influence in L3 acquisition.</w:t>
      </w:r>
      <w:r>
        <w:t xml:space="preserve"> </w:t>
      </w:r>
      <w:r>
        <w:t xml:space="preserve">De Angelis (2007)</w:t>
      </w:r>
      <w:r>
        <w:t xml:space="preserve"> </w:t>
      </w:r>
      <w:r>
        <w:t xml:space="preserve">distinguishes between one-to-one transfer and many-to-one transfer.</w:t>
      </w:r>
      <w:r>
        <w:t xml:space="preserve"> </w:t>
      </w:r>
      <w:r>
        <w:t xml:space="preserve">One-to-one transfer occurs when the primary source of cross-linguistic influence on the L3 is only one previously acquired language (L1 or L2), whereas many-to-one transfer involves the simultaneous influence of multiple previously acquired languages.</w:t>
      </w:r>
      <w:r>
        <w:t xml:space="preserve"> </w:t>
      </w:r>
      <w:r>
        <w:t xml:space="preserve"> </w:t>
      </w:r>
      <w:r>
        <w:t xml:space="preserve">While empirical evidence supports both hypotheses,</w:t>
      </w:r>
      <w:r>
        <w:t xml:space="preserve"> </w:t>
      </w:r>
      <w:r>
        <w:t xml:space="preserve">Puig-Mayenco, González Alonso, &amp; Rothman (2020)</w:t>
      </w:r>
      <w:r>
        <w:t xml:space="preserve">’s systematic review showed that a vast majority of transfer studies in L3 acquisition provided supporting evidence for one-to-one transfer.</w:t>
      </w:r>
      <w:r>
        <w:t xml:space="preserve"> </w:t>
      </w:r>
      <w:r>
        <w:t xml:space="preserve">Though, most of the evidence addresses L3 morphosyntax, and research on L3 lexical acquisition remains scarce.</w:t>
      </w:r>
      <w:r>
        <w:t xml:space="preserve"> </w:t>
      </w:r>
      <w:r>
        <w:t xml:space="preserve"> </w:t>
      </w:r>
    </w:p>
    <w:p>
      <w:pPr>
        <w:pStyle w:val="BodyText"/>
      </w:pPr>
      <w:r>
        <w:t xml:space="preserve">A similar distinction is described by</w:t>
      </w:r>
      <w:r>
        <w:t xml:space="preserve"> </w:t>
      </w:r>
      <w:r>
        <w:t xml:space="preserve">Bartolotti &amp; Marian (2017)</w:t>
      </w:r>
      <w:r>
        <w:t xml:space="preserve">.</w:t>
      </w:r>
      <w:r>
        <w:t xml:space="preserve"> </w:t>
      </w:r>
      <w:r>
        <w:t xml:space="preserve">Focusing on cross-linguistic lexical similarity, they proposed the Scaffolding model and the Accumulation model.</w:t>
      </w:r>
      <w:r>
        <w:t xml:space="preserve"> </w:t>
      </w:r>
      <w:r>
        <w:t xml:space="preserve">In the Scaffolding model, L3 lexical acquisition is driven by the ability to create a direct association between a newly encountered word and an existing word in the L1 or L2 lexicon.</w:t>
      </w:r>
      <w:r>
        <w:br/>
      </w:r>
      <w:r>
        <w:t xml:space="preserve">Novel words with greater form overlap with an existing word are more likely to have strong lexical associations.</w:t>
      </w:r>
      <w:r>
        <w:t xml:space="preserve"> </w:t>
      </w:r>
      <w:r>
        <w:t xml:space="preserve">Importantly, novel words receive a benefit to learning if they overlap with at least one of the previously acquired languages, with no additional benefit for overlapping with both languages.</w:t>
      </w:r>
      <w:r>
        <w:t xml:space="preserve"> </w:t>
      </w:r>
      <w:r>
        <w:t xml:space="preserve">Therefore, lexical facilitation in this model is not cumulative across languages.</w:t>
      </w:r>
      <w:r>
        <w:t xml:space="preserve"> </w:t>
      </w:r>
      <w:r>
        <w:t xml:space="preserve">The Scaffolding model</w:t>
      </w:r>
      <w:r>
        <w:t xml:space="preserve"> </w:t>
      </w:r>
      <w:r>
        <w:t xml:space="preserve">(Bartolotti &amp; Marian, 2017)</w:t>
      </w:r>
      <w:r>
        <w:t xml:space="preserve"> </w:t>
      </w:r>
      <w:r>
        <w:t xml:space="preserve">is compatible with the Parasitic Model</w:t>
      </w:r>
      <w:r>
        <w:t xml:space="preserve"> </w:t>
      </w:r>
      <w:r>
        <w:t xml:space="preserve">(Ecke, 2015)</w:t>
      </w:r>
      <w:r>
        <w:t xml:space="preserve">, in which novel L3 words attach to a L1 or L2 host to facilitate learning.</w:t>
      </w:r>
      <w:r>
        <w:t xml:space="preserve"> </w:t>
      </w:r>
      <w:r>
        <w:t xml:space="preserve">In contrast, the Accumulation model of</w:t>
      </w:r>
      <w:r>
        <w:t xml:space="preserve"> </w:t>
      </w:r>
      <w:r>
        <w:t xml:space="preserve">Bartolotti &amp; Marian (2017)</w:t>
      </w:r>
      <w:r>
        <w:t xml:space="preserve"> </w:t>
      </w:r>
      <w:r>
        <w:t xml:space="preserve">proposes that L3 lexical acquisition depends on the frequency of sublexical features that a novel word shares with the L1 and L2.</w:t>
      </w:r>
      <w:r>
        <w:t xml:space="preserve"> </w:t>
      </w:r>
      <w:r>
        <w:t xml:space="preserve">In this model, lexical benefits are additive across languages, and novel words with greater similarity to L1 and L2 words are easier to learn and retrieve.</w:t>
      </w:r>
      <w:r>
        <w:t xml:space="preserve"> </w:t>
      </w:r>
      <w:r>
        <w:t xml:space="preserve">Overall, both models highlight the role of cross-linguistic similarity, but they differ on which source exerts the influence on L3.</w:t>
      </w:r>
    </w:p>
    <w:p>
      <w:pPr>
        <w:pStyle w:val="BodyText"/>
      </w:pPr>
      <w:r>
        <w:t xml:space="preserve">Bartolotti &amp; Marian (2017)</w:t>
      </w:r>
      <w:r>
        <w:t xml:space="preserve"> </w:t>
      </w:r>
      <w:r>
        <w:t xml:space="preserve">tested both models by examining L3 lexical learning of double cognates (L1-L3 or L2-L3), triple cognates (L1-L2-L3), and noncognates in English-German bilinguals learning a novel language.</w:t>
      </w:r>
      <w:r>
        <w:t xml:space="preserve"> </w:t>
      </w:r>
      <w:r>
        <w:t xml:space="preserve">Results of a word recognition task and a word production task showed no additive benefit for L3 words overlapping with both previously acquired languages.</w:t>
      </w:r>
      <w:r>
        <w:t xml:space="preserve"> </w:t>
      </w:r>
      <w:r>
        <w:t xml:space="preserve">Triple cognates and double cognates improved lexical learning in a similar way compared to noncognates.</w:t>
      </w:r>
      <w:r>
        <w:t xml:space="preserve"> </w:t>
      </w:r>
      <w:r>
        <w:t xml:space="preserve">Their findings supported the Scaffolding model and suggested that both languages of a bilingual contribute to L3 acquisition.</w:t>
      </w:r>
    </w:p>
    <w:p>
      <w:pPr>
        <w:pStyle w:val="BodyText"/>
      </w:pPr>
      <w:r>
        <w:t xml:space="preserve">Further evidence in L3 lexical processing has provided mixed findings regarding the source of cross-linguistic influence.</w:t>
      </w:r>
      <w:r>
        <w:t xml:space="preserve"> </w:t>
      </w:r>
      <w:r>
        <w:t xml:space="preserve">While some studies coincide with the findings of</w:t>
      </w:r>
      <w:r>
        <w:t xml:space="preserve"> </w:t>
      </w:r>
      <w:r>
        <w:t xml:space="preserve">Bartolotti &amp; Marian (2017)</w:t>
      </w:r>
      <w:r>
        <w:t xml:space="preserve"> </w:t>
      </w:r>
      <w:r>
        <w:t xml:space="preserve">and report no cumulative benefits</w:t>
      </w:r>
      <w:r>
        <w:t xml:space="preserve"> </w:t>
      </w:r>
      <w:r>
        <w:t xml:space="preserve">(e.g., Engemann &amp; Radetzky, 2024; Lijewska, 2023; Lijewska &amp; Louw, 2025)</w:t>
      </w:r>
      <w:r>
        <w:t xml:space="preserve">, a growing body of research has observed that cross-linguistic similarity may enhance L3 processing in an additive manner</w:t>
      </w:r>
      <w:r>
        <w:t xml:space="preserve"> </w:t>
      </w:r>
      <w:r>
        <w:t xml:space="preserve">(e.g., Foryś-Nogala et al., 2026; Lemhöfer, Dijkstra, &amp; Michel, 2004; Poarch &amp; Hell, 2014; Szubko-Sitarek, 2011)</w:t>
      </w:r>
      <w:r>
        <w:t xml:space="preserve">.</w:t>
      </w:r>
      <w:r>
        <w:t xml:space="preserve"> </w:t>
      </w:r>
      <w:r>
        <w:t xml:space="preserve">Lijewska (2023)</w:t>
      </w:r>
      <w:r>
        <w:t xml:space="preserve"> </w:t>
      </w:r>
      <w:r>
        <w:t xml:space="preserve">examined how sentence context modulates the processing of non-identical triple cognates in an English reading task that recorded eye movements of Polish-German-English trilinguals.</w:t>
      </w:r>
      <w:r>
        <w:t xml:space="preserve"> </w:t>
      </w:r>
      <w:r>
        <w:t xml:space="preserve">Results showed no facilitation effects of triple cognates.</w:t>
      </w:r>
      <w:r>
        <w:t xml:space="preserve"> </w:t>
      </w:r>
      <w:r>
        <w:t xml:space="preserve">Results also indicated that cognate processing was not affected by the sentence context, unlike noncognates.</w:t>
      </w:r>
      <w:r>
        <w:t xml:space="preserve"> </w:t>
      </w:r>
      <w:r>
        <w:t xml:space="preserve">Similarly,</w:t>
      </w:r>
      <w:r>
        <w:t xml:space="preserve"> </w:t>
      </w:r>
      <w:r>
        <w:t xml:space="preserve">Lijewska &amp; Louw (2025)</w:t>
      </w:r>
      <w:r>
        <w:t xml:space="preserve"> </w:t>
      </w:r>
      <w:r>
        <w:t xml:space="preserve">investigated cognate effects in visual recognition of non-identical cognates in Polish-English-Dutch trilinguals.</w:t>
      </w:r>
      <w:r>
        <w:t xml:space="preserve"> </w:t>
      </w:r>
      <w:r>
        <w:t xml:space="preserve">The results of two lexical decision tasks in Dutch containing double cognates (Polish-Dutch and English-Dutch) and triple cognates revealed facilitation effects for triple cognates and for English-Dutch cognates but not for Polish-Dutch cognates.</w:t>
      </w:r>
      <w:r>
        <w:t xml:space="preserve"> </w:t>
      </w:r>
      <w:r>
        <w:t xml:space="preserve">Their findings showed a stronger influence of L2 than L1 in L3 processing, but evidence of an additive effect of cross-linguistic similarity was inconclusive because double and triple cognates were separated among the two tasks.</w:t>
      </w:r>
      <w:r>
        <w:t xml:space="preserve"> </w:t>
      </w:r>
      <w:r>
        <w:t xml:space="preserve">For L3 production,</w:t>
      </w:r>
      <w:r>
        <w:t xml:space="preserve"> </w:t>
      </w:r>
      <w:r>
        <w:t xml:space="preserve">Engemann &amp; Radetzky (2024)</w:t>
      </w:r>
      <w:r>
        <w:t xml:space="preserve"> </w:t>
      </w:r>
      <w:r>
        <w:t xml:space="preserve">examined cognate effects in L1 and L3 word naming accuracy and latency in Italian-German-English trilingual children.</w:t>
      </w:r>
      <w:r>
        <w:t xml:space="preserve"> </w:t>
      </w:r>
      <w:r>
        <w:t xml:space="preserve">Both tasks included double cognates (German-English and Italian-English), triple cognates, and noncognates.</w:t>
      </w:r>
      <w:r>
        <w:t xml:space="preserve"> </w:t>
      </w:r>
      <w:r>
        <w:t xml:space="preserve">They found cognate facilitation effects only in the L3 task for all cognate types in word naming accuracy but not in naming speed.</w:t>
      </w:r>
      <w:r>
        <w:t xml:space="preserve"> </w:t>
      </w:r>
      <w:r>
        <w:t xml:space="preserve">The findings support one-to-one cross-linguistic influence as no additive benefits were observed.</w:t>
      </w:r>
    </w:p>
    <w:p>
      <w:pPr>
        <w:pStyle w:val="BodyText"/>
      </w:pPr>
      <w:r>
        <w:t xml:space="preserve">Contrasting evidence shows cumulative benefits of cross-linguistic similarity in L3 lexical processing.</w:t>
      </w:r>
      <w:r>
        <w:t xml:space="preserve"> </w:t>
      </w:r>
      <w:r>
        <w:t xml:space="preserve">Lemhöfer et al. (2004)</w:t>
      </w:r>
      <w:r>
        <w:t xml:space="preserve"> </w:t>
      </w:r>
      <w:r>
        <w:t xml:space="preserve">investigated non-selective lexical access in Dutch-English-German trilinguals.</w:t>
      </w:r>
      <w:r>
        <w:t xml:space="preserve"> </w:t>
      </w:r>
      <w:r>
        <w:t xml:space="preserve">Participants completed a visual lexical decision task in German containing double cognates (Dutch-German), triple cognates, and noncognates.</w:t>
      </w:r>
      <w:r>
        <w:t xml:space="preserve"> </w:t>
      </w:r>
      <w:r>
        <w:t xml:space="preserve">Results showed robust cognate facilitation effects for double and triple cognates, but a stronger facilitation effect was observed for triple cognates compared to double cognates.</w:t>
      </w:r>
      <w:r>
        <w:t xml:space="preserve"> </w:t>
      </w:r>
      <w:r>
        <w:t xml:space="preserve">In a similar vein,</w:t>
      </w:r>
      <w:r>
        <w:t xml:space="preserve"> </w:t>
      </w:r>
      <w:r>
        <w:t xml:space="preserve">Szubko-Sitarek (2011)</w:t>
      </w:r>
      <w:r>
        <w:t xml:space="preserve"> </w:t>
      </w:r>
      <w:r>
        <w:t xml:space="preserve">examined cross-linguistic influence in L1 and L3 visual word recognition in Polish-English-German trilinguals.</w:t>
      </w:r>
      <w:r>
        <w:t xml:space="preserve"> </w:t>
      </w:r>
      <w:r>
        <w:t xml:space="preserve">The results of two lexical decision tasks including double cognates (Polish-German), triple cognates, and noncognates revealed additive effects of cross-linguistic similarity in both L1 and L3 lexical processing.</w:t>
      </w:r>
      <w:r>
        <w:t xml:space="preserve"> </w:t>
      </w:r>
      <w:r>
        <w:t xml:space="preserve">In the L3 task, both types of cognates were recognized faster than noncognates, but triple cognates showed the largest effect.</w:t>
      </w:r>
      <w:r>
        <w:t xml:space="preserve"> </w:t>
      </w:r>
      <w:r>
        <w:t xml:space="preserve">In the L1 task, a processing advantage of triple cognates was also observed.</w:t>
      </w:r>
      <w:r>
        <w:t xml:space="preserve"> </w:t>
      </w:r>
      <w:r>
        <w:t xml:space="preserve">Their findings highlight that cross-linguistic influence in multilingual lexical processing is not limited to the non-native languages but can also modulate L1 processing.</w:t>
      </w:r>
      <w:r>
        <w:t xml:space="preserve"> </w:t>
      </w:r>
      <w:r>
        <w:t xml:space="preserve">More recently,</w:t>
      </w:r>
      <w:r>
        <w:t xml:space="preserve"> </w:t>
      </w:r>
      <w:r>
        <w:t xml:space="preserve">Foryś-Nogala et al. (2026)</w:t>
      </w:r>
      <w:r>
        <w:t xml:space="preserve"> </w:t>
      </w:r>
      <w:r>
        <w:t xml:space="preserve">investigated how individual differences modulate cross-linguistic influence in L3 lexical learning and visual word recognition.</w:t>
      </w:r>
      <w:r>
        <w:t xml:space="preserve"> </w:t>
      </w:r>
      <w:r>
        <w:t xml:space="preserve">Polish-English-Italian trilinguals completed a vocabulary knowledge test and a lexical decision task in Italian that included double cognates (English-Italian), triple cognates, and noncognates.</w:t>
      </w:r>
      <w:r>
        <w:t xml:space="preserve"> </w:t>
      </w:r>
      <w:r>
        <w:t xml:space="preserve">Results showed an advantage for triple cognates in both lexical knowledge and visual processing, suggesting that cumulative similarity across three languages facilitates learning and processing more than L2-L3 similarity.</w:t>
      </w:r>
      <w:r>
        <w:t xml:space="preserve"> </w:t>
      </w:r>
      <w:r>
        <w:t xml:space="preserve">Examining L3 production,</w:t>
      </w:r>
      <w:r>
        <w:t xml:space="preserve"> </w:t>
      </w:r>
      <w:r>
        <w:t xml:space="preserve">Poarch &amp; Hell (2014)</w:t>
      </w:r>
      <w:r>
        <w:t xml:space="preserve"> </w:t>
      </w:r>
      <w:r>
        <w:t xml:space="preserve">studied cross-linguistic activation during speech production in three groups of trilinguals: German-English-Dutch, Dutch-English-German, and Russian-English-German trilinguals.</w:t>
      </w:r>
      <w:r>
        <w:t xml:space="preserve"> </w:t>
      </w:r>
      <w:r>
        <w:t xml:space="preserve">They completed two naming tasks, one in L2 English and one in their respective L3 (Dutch or German), including double cognates, triple cognates, and noncognates.</w:t>
      </w:r>
      <w:r>
        <w:t xml:space="preserve"> </w:t>
      </w:r>
      <w:r>
        <w:t xml:space="preserve">Results revealed faster naming for triple cognates in both the L2 task and the L3 task, indicating that facilitation effects of increased cross-linguistic similarity accumulate across three languages in L2 and L3 word activation.</w:t>
      </w:r>
    </w:p>
    <w:p>
      <w:pPr>
        <w:pStyle w:val="BodyText"/>
      </w:pPr>
      <w:r>
        <w:t xml:space="preserve">The findings of the studies described above mainly expand in two directions, providing supporting evidence for the Scaffolding model</w:t>
      </w:r>
      <w:r>
        <w:t xml:space="preserve"> </w:t>
      </w:r>
      <w:r>
        <w:t xml:space="preserve">(Bartolotti &amp; Marian, 2017)</w:t>
      </w:r>
      <w:r>
        <w:t xml:space="preserve"> </w:t>
      </w:r>
      <w:r>
        <w:t xml:space="preserve">and one-to-one transfer</w:t>
      </w:r>
      <w:r>
        <w:t xml:space="preserve"> </w:t>
      </w:r>
      <w:r>
        <w:t xml:space="preserve">(De Angelis, 2007)</w:t>
      </w:r>
      <w:r>
        <w:t xml:space="preserve"> </w:t>
      </w:r>
      <w:r>
        <w:t xml:space="preserve">or supporting the Accumulation model</w:t>
      </w:r>
      <w:r>
        <w:t xml:space="preserve"> </w:t>
      </w:r>
      <w:r>
        <w:t xml:space="preserve">(Bartolotti &amp; Marian, 2017)</w:t>
      </w:r>
      <w:r>
        <w:t xml:space="preserve"> </w:t>
      </w:r>
      <w:r>
        <w:t xml:space="preserve">and many-to-one transfer</w:t>
      </w:r>
      <w:r>
        <w:t xml:space="preserve"> </w:t>
      </w:r>
      <w:r>
        <w:t xml:space="preserve">(De Angelis, 2007)</w:t>
      </w:r>
      <w:r>
        <w:t xml:space="preserve">.</w:t>
      </w:r>
      <w:r>
        <w:t xml:space="preserve"> </w:t>
      </w:r>
      <w:r>
        <w:t xml:space="preserve">In addition, available evidence is mixed with regards to the nature of cross-linguistic interactions in multilingual contexts, with some studies reporting stronger influence from the L2 than the L1, which aligns with the L2-status factor</w:t>
      </w:r>
      <w:r>
        <w:t xml:space="preserve"> </w:t>
      </w:r>
      <w:r>
        <w:t xml:space="preserve">(Bardel &amp; Falk, 2007, 2012)</w:t>
      </w:r>
      <w:r>
        <w:t xml:space="preserve">, and other studies showing more influence from the L1.</w:t>
      </w:r>
      <w:r>
        <w:t xml:space="preserve"> </w:t>
      </w:r>
      <w:r>
        <w:t xml:space="preserve"> </w:t>
      </w:r>
      <w:r>
        <w:t xml:space="preserve">Notably, it remains to be explored how language proficiency modulates the strength and direction of cross-linguistic influence and the presence of cognate effects in L3 lexical processing.</w:t>
      </w:r>
      <w:r>
        <w:t xml:space="preserve"> </w:t>
      </w:r>
      <w:r>
        <w:t xml:space="preserve">Some studies suggest that</w:t>
      </w:r>
      <w:r>
        <w:t xml:space="preserve"> </w:t>
      </w:r>
      <w:r>
        <w:t xml:space="preserve">“sufficient”</w:t>
      </w:r>
      <w:r>
        <w:t xml:space="preserve"> </w:t>
      </w:r>
      <w:r>
        <w:t xml:space="preserve">proficiency is needed for cumulative cognate effects to emerge</w:t>
      </w:r>
      <w:r>
        <w:t xml:space="preserve"> </w:t>
      </w:r>
      <w:r>
        <w:t xml:space="preserve">(e.g., Lemhöfer et al., 2004; Poarch &amp; Hell, 2014; Szubko-Sitarek, 2011)</w:t>
      </w:r>
      <w:r>
        <w:t xml:space="preserve">, though it is very complex to establish such a threshold in multilingual individuals.</w:t>
      </w:r>
      <w:r>
        <w:t xml:space="preserve"> </w:t>
      </w:r>
      <w:r>
        <w:t xml:space="preserve"> </w:t>
      </w:r>
      <w:r>
        <w:t xml:space="preserve">The present study further explores the influence of cross-linguistic similarity in L3 lexical processing by examining cumulative cognate effects in L3 Spanish, a less represented language in the L3 literature.</w:t>
      </w:r>
      <w:r>
        <w:t xml:space="preserve"> </w:t>
      </w:r>
      <w:r>
        <w:t xml:space="preserve">In doing so, we aim to advance our understanding of the interactions and contributions of previously acquired languages in L3 processing.</w:t>
      </w:r>
    </w:p>
    <w:bookmarkEnd w:id="23"/>
    <w:bookmarkStart w:id="24" w:name="the-present-study"/>
    <w:p>
      <w:pPr>
        <w:pStyle w:val="Heading2"/>
      </w:pPr>
      <w:r>
        <w:t xml:space="preserve">The Present Study</w:t>
      </w:r>
    </w:p>
    <w:p>
      <w:pPr>
        <w:pStyle w:val="FirstParagraph"/>
      </w:pPr>
      <w:r>
        <w:t xml:space="preserve">The present study investigates how cross-linguistic similarity modulates L3 lexical processing.</w:t>
      </w:r>
      <w:r>
        <w:t xml:space="preserve"> </w:t>
      </w:r>
      <w:r>
        <w:t xml:space="preserve">Specifically, it examines whether cognate facilitation effects arise during visual processing in L3 Spanish and whether such effects reflect cumulative facilitation across languages.</w:t>
      </w:r>
      <w:r>
        <w:t xml:space="preserve"> </w:t>
      </w:r>
      <w:r>
        <w:t xml:space="preserve">More precisely, the study tests whether visual processing of triple cognates (German-English-Spanish) and double cognates (English-Spanish) differ compared to noncognates in trilingual individuals.</w:t>
      </w:r>
      <w:r>
        <w:t xml:space="preserve"> </w:t>
      </w:r>
      <w:r>
        <w:t xml:space="preserve">In addition, it assesses the role of L2 and L3 proficiency in modulating the magnitude and pattern of cognate facilitation.</w:t>
      </w:r>
      <w:r>
        <w:t xml:space="preserve"> </w:t>
      </w:r>
      <w:r>
        <w:t xml:space="preserve">By comparing triple and double cognates, the study also contributes to broader theoretical debates on whether multilingual influence is cumulative or selectively constrained to a single previously acquired language.</w:t>
      </w:r>
      <w:r>
        <w:t xml:space="preserve"> </w:t>
      </w:r>
      <w:r>
        <w:t xml:space="preserve">Overall, the study adds to ongoing discussions regarding the mechanisms underlying cross-linguistic influence in multilingual lexical processing.</w:t>
      </w:r>
    </w:p>
    <w:p>
      <w:pPr>
        <w:pStyle w:val="BodyText"/>
      </w:pPr>
      <w:r>
        <w:t xml:space="preserve">The present study addresses the following research questions:</w:t>
      </w:r>
    </w:p>
    <w:p>
      <w:pPr>
        <w:pStyle w:val="BodyText"/>
      </w:pPr>
      <w:r>
        <w:t xml:space="preserve">RQ1: Do German-English-Spanish trilinguals process triple cognates faster than double cognates?</w:t>
      </w:r>
    </w:p>
    <w:p>
      <w:pPr>
        <w:pStyle w:val="BodyText"/>
      </w:pPr>
      <w:r>
        <w:t xml:space="preserve">RQ2: Is L3 cognate processing modulated by L2 or L3 proficiency?</w:t>
      </w:r>
    </w:p>
    <w:p>
      <w:pPr>
        <w:pStyle w:val="BodyText"/>
      </w:pPr>
      <w:r>
        <w:t xml:space="preserve">For RQ1, we formulated two working hypotheses.</w:t>
      </w:r>
      <w:r>
        <w:t xml:space="preserve"> </w:t>
      </w:r>
      <w:r>
        <w:t xml:space="preserve">On the one hand, we hypothesized that trilinguals would process triple cognates faster than double cognates.</w:t>
      </w:r>
      <w:r>
        <w:t xml:space="preserve"> </w:t>
      </w:r>
      <w:r>
        <w:t xml:space="preserve">A growing number of studies has provided supporting evidence for many-to-one transfer</w:t>
      </w:r>
      <w:r>
        <w:t xml:space="preserve"> </w:t>
      </w:r>
      <w:r>
        <w:t xml:space="preserve">(De Angelis, 2007)</w:t>
      </w:r>
      <w:r>
        <w:t xml:space="preserve">, indicating that both previously acquired languages of a trilingual actively influence L3 lexical processing and that such influence accumulates across languages</w:t>
      </w:r>
      <w:r>
        <w:t xml:space="preserve"> </w:t>
      </w:r>
      <w:r>
        <w:t xml:space="preserve">(e.g., Foryś-Nogala et al., 2026; Lemhöfer et al., 2004; Poarch &amp; Hell, 2014; Szubko-Sitarek, 2011)</w:t>
      </w:r>
      <w:r>
        <w:t xml:space="preserve">.</w:t>
      </w:r>
      <w:r>
        <w:t xml:space="preserve"> </w:t>
      </w:r>
      <w:r>
        <w:t xml:space="preserve">This evidence supports the Accumulation model</w:t>
      </w:r>
      <w:r>
        <w:t xml:space="preserve"> </w:t>
      </w:r>
      <w:r>
        <w:t xml:space="preserve">(Bartolotti &amp; Marian, 2017)</w:t>
      </w:r>
      <w:r>
        <w:t xml:space="preserve">, which suggests that greater cross-linguistic similarity has additive benefits for L3 lexical processing.</w:t>
      </w:r>
      <w:r>
        <w:t xml:space="preserve"> </w:t>
      </w:r>
      <w:r>
        <w:t xml:space="preserve">In that line, triple cognates cause stronger co-activation across languages and facilitate L3 lexical access more than double cognates, resulting in faster recognition.</w:t>
      </w:r>
      <w:r>
        <w:t xml:space="preserve"> </w:t>
      </w:r>
      <w:r>
        <w:t xml:space="preserve">On the other hand, we also hypothesized that trilinguals would process triple and double cognates similarly.</w:t>
      </w:r>
      <w:r>
        <w:t xml:space="preserve"> </w:t>
      </w:r>
      <w:r>
        <w:t xml:space="preserve">There is also substantial evidence for one-to-one transfer</w:t>
      </w:r>
      <w:r>
        <w:t xml:space="preserve"> </w:t>
      </w:r>
      <w:r>
        <w:t xml:space="preserve">(Bartolotti &amp; Marian, 2017)</w:t>
      </w:r>
      <w:r>
        <w:t xml:space="preserve"> </w:t>
      </w:r>
      <w:r>
        <w:t xml:space="preserve">and the Scaffolding model</w:t>
      </w:r>
      <w:r>
        <w:t xml:space="preserve"> </w:t>
      </w:r>
      <w:r>
        <w:t xml:space="preserve">(Bartolotti &amp; Marian, 2017)</w:t>
      </w:r>
      <w:r>
        <w:t xml:space="preserve">, suggesting that overlapping with more than one previously acquired language does not have an additive advantage for L3 lexical processing</w:t>
      </w:r>
      <w:r>
        <w:t xml:space="preserve"> </w:t>
      </w:r>
      <w:r>
        <w:t xml:space="preserve">(e.g., Bartolotti &amp; Marian, 2017; Engemann &amp; Radetzky, 2024; Lijewska, 2023; Lijewska &amp; Louw, 2025)</w:t>
      </w:r>
      <w:r>
        <w:t xml:space="preserve">.</w:t>
      </w:r>
      <w:r>
        <w:t xml:space="preserve"> </w:t>
      </w:r>
      <w:r>
        <w:t xml:space="preserve">In the present study, this predicts no processing differences between triple and double cognates.</w:t>
      </w:r>
    </w:p>
    <w:p>
      <w:pPr>
        <w:pStyle w:val="BodyText"/>
      </w:pPr>
      <w:r>
        <w:t xml:space="preserve">For RQ2, our hypothesis was that higher L2 and L3 proficiency would facilitate L3 cognate processing.</w:t>
      </w:r>
      <w:r>
        <w:t xml:space="preserve"> </w:t>
      </w:r>
      <w:r>
        <w:t xml:space="preserve">While the role of proficiency remains to be further explored, available studies suggest that a sufficient level of proficiency is needed for cumulative cognate effects to emerge and that lower proficiency trilinguals do not have the necessary level of co-activation to produce cumulative effects across the three languages</w:t>
      </w:r>
      <w:r>
        <w:t xml:space="preserve"> </w:t>
      </w:r>
      <w:r>
        <w:t xml:space="preserve">(e.g., Lemhöfer et al., 2004; Poarch &amp; Hell, 2014; Szubko-Sitarek, 2011)</w:t>
      </w:r>
      <w:r>
        <w:t xml:space="preserve">.</w:t>
      </w:r>
      <w:r>
        <w:t xml:space="preserve"> </w:t>
      </w:r>
      <w:r>
        <w:t xml:space="preserve">Following this evidence, in the present study, higher L2 and L3 proficiency may be associated with stronger co-activation of cognates, resulting in stronger cognate effects.</w:t>
      </w:r>
    </w:p>
    <w:bookmarkEnd w:id="24"/>
    <w:bookmarkEnd w:id="25"/>
    <w:bookmarkStart w:id="32" w:name="methodology"/>
    <w:p>
      <w:pPr>
        <w:pStyle w:val="Heading1"/>
      </w:pPr>
      <w:r>
        <w:t xml:space="preserve">Methodology</w:t>
      </w:r>
    </w:p>
    <w:bookmarkStart w:id="26" w:name="participants"/>
    <w:p>
      <w:pPr>
        <w:pStyle w:val="Heading2"/>
      </w:pPr>
      <w:r>
        <w:t xml:space="preserve">Participants</w:t>
      </w:r>
    </w:p>
    <w:p>
      <w:pPr>
        <w:pStyle w:val="FirstParagraph"/>
      </w:pPr>
      <w:r>
        <w:t xml:space="preserve">A total of 97 participants completed the study.</w:t>
      </w:r>
      <w:r>
        <w:t xml:space="preserve"> </w:t>
      </w:r>
      <w:r>
        <w:t xml:space="preserve">The experimental group consisted of 48 trilinguals (L1 German, L2 English, L3 Spanish), and the control group included 49 bilinguals (L1 English, L2 Spanish).</w:t>
      </w:r>
      <w:r>
        <w:t xml:space="preserve"> </w:t>
      </w:r>
      <w:r>
        <w:t xml:space="preserve">The trilinguals were recruited from Hispanic Linguistics courses in a public university in Frankfurt, Germany.</w:t>
      </w:r>
      <w:r>
        <w:t xml:space="preserve"> </w:t>
      </w:r>
      <w:r>
        <w:t xml:space="preserve"> </w:t>
      </w:r>
      <w:r>
        <w:t xml:space="preserve">They received extra credit for their participation in the study.</w:t>
      </w:r>
      <w:r>
        <w:t xml:space="preserve"> </w:t>
      </w:r>
      <w:r>
        <w:t xml:space="preserve">The bilinguals were recruited using Prolific (www.prolific.com) and received monetary compensation for their participation.</w:t>
      </w:r>
    </w:p>
    <w:p>
      <w:pPr>
        <w:pStyle w:val="BodyText"/>
      </w:pPr>
      <w:r>
        <w:t xml:space="preserve">(Describe participants and descriptive stats from the questionnaire: nationality, place of residence, sex, age, AoA, etc.)</w:t>
      </w:r>
    </w:p>
    <w:p>
      <w:pPr>
        <w:pStyle w:val="BodyText"/>
      </w:pPr>
      <w:r>
        <w:t xml:space="preserve">Participant’s proficiency in English and Spanish was measured via vocabulary size using two lexical tests.</w:t>
      </w:r>
      <w:r>
        <w:t xml:space="preserve"> </w:t>
      </w:r>
      <w:r>
        <w:t xml:space="preserve">The final groups included participants with a wide range of proficiency scores.</w:t>
      </w:r>
    </w:p>
    <w:bookmarkEnd w:id="26"/>
    <w:bookmarkStart w:id="30" w:name="materials-and-procedure"/>
    <w:p>
      <w:pPr>
        <w:pStyle w:val="Heading2"/>
      </w:pPr>
      <w:r>
        <w:t xml:space="preserve">Materials and Procedure</w:t>
      </w:r>
    </w:p>
    <w:bookmarkStart w:id="28" w:name="lexical-decision-task"/>
    <w:p>
      <w:pPr>
        <w:pStyle w:val="Heading3"/>
      </w:pPr>
      <w:r>
        <w:t xml:space="preserve">Lexical Decision Task</w:t>
      </w:r>
    </w:p>
    <w:p>
      <w:pPr>
        <w:pStyle w:val="FirstParagraph"/>
      </w:pPr>
      <w:r>
        <w:t xml:space="preserve">Participants completed a visual lexical decision task (LDT) in Spanish.</w:t>
      </w:r>
      <w:r>
        <w:t xml:space="preserve"> </w:t>
      </w:r>
      <w:r>
        <w:t xml:space="preserve">They saw individual strings of letters on a computer screen and indicated whether these strings constituted real words in the Spanish language.</w:t>
      </w:r>
      <w:r>
        <w:t xml:space="preserve"> </w:t>
      </w:r>
      <w:r>
        <w:t xml:space="preserve">At the beginning of each trial, participants saw the response options</w:t>
      </w:r>
      <w:r>
        <w:t xml:space="preserve"> </w:t>
      </w:r>
      <w:r>
        <w:t xml:space="preserve">“REAL”</w:t>
      </w:r>
      <w:r>
        <w:t xml:space="preserve"> </w:t>
      </w:r>
      <w:r>
        <w:t xml:space="preserve">and</w:t>
      </w:r>
      <w:r>
        <w:t xml:space="preserve"> </w:t>
      </w:r>
      <w:r>
        <w:t xml:space="preserve">“FALSA”</w:t>
      </w:r>
      <w:r>
        <w:t xml:space="preserve"> </w:t>
      </w:r>
      <w:r>
        <w:t xml:space="preserve">on the sides of the screen, then 500ms later, a letter string was displayed in the center of the screen.</w:t>
      </w:r>
      <w:r>
        <w:t xml:space="preserve"> </w:t>
      </w:r>
      <w:r>
        <w:t xml:space="preserve">Participants responded by pressing the key</w:t>
      </w:r>
      <w:r>
        <w:t xml:space="preserve"> </w:t>
      </w:r>
      <w:r>
        <w:t xml:space="preserve">“1”</w:t>
      </w:r>
      <w:r>
        <w:t xml:space="preserve"> </w:t>
      </w:r>
      <w:r>
        <w:t xml:space="preserve">(REAL) or</w:t>
      </w:r>
      <w:r>
        <w:t xml:space="preserve"> </w:t>
      </w:r>
      <w:r>
        <w:t xml:space="preserve">“0”</w:t>
      </w:r>
      <w:r>
        <w:t xml:space="preserve"> </w:t>
      </w:r>
      <w:r>
        <w:t xml:space="preserve">(FALSA) on a computer keyboard.</w:t>
      </w:r>
      <w:r>
        <w:t xml:space="preserve"> </w:t>
      </w:r>
      <w:r>
        <w:t xml:space="preserve">Instructions were presented in Spanish, and participants completed a familiarization section with 5 practice trials.</w:t>
      </w:r>
      <w:r>
        <w:t xml:space="preserve"> </w:t>
      </w:r>
      <w:r>
        <w:t xml:space="preserve">The LDT measured accuracy and response times.</w:t>
      </w:r>
      <w:r>
        <w:t xml:space="preserve"> </w:t>
      </w:r>
      <w:r>
        <w:t xml:space="preserve">The task was programmed in PsychoPy</w:t>
      </w:r>
      <w:r>
        <w:t xml:space="preserve"> </w:t>
      </w:r>
      <w:r>
        <w:t xml:space="preserve">(Peirce et al., 2019)</w:t>
      </w:r>
      <w:r>
        <w:t xml:space="preserve"> </w:t>
      </w:r>
      <w:r>
        <w:t xml:space="preserve">and delivered online via the Pavlovia platform.</w:t>
      </w:r>
    </w:p>
    <w:p>
      <w:pPr>
        <w:pStyle w:val="BodyText"/>
      </w:pPr>
      <w:r>
        <w:t xml:space="preserve">The stimuli of the LDT included a total of 192 items, of which 96 were Spanish pseudowords, 48 were Spanish noncognates, 24 were double cognates (English-Spanish), and 24 were triple cognates (German-English-Spanish).</w:t>
      </w:r>
      <w:r>
        <w:t xml:space="preserve"> </w:t>
      </w:r>
      <w:r>
        <w:t xml:space="preserve">The stimulus list can be found in Appendix A.</w:t>
      </w:r>
      <w:r>
        <w:t xml:space="preserve"> </w:t>
      </w:r>
      <w:r>
        <w:t xml:space="preserve">All items had between 4 and 6 letters.</w:t>
      </w:r>
      <w:r>
        <w:t xml:space="preserve"> </w:t>
      </w:r>
      <w:r>
        <w:t xml:space="preserve">Pseudowords were created using UniPseudo</w:t>
      </w:r>
      <w:r>
        <w:t xml:space="preserve"> </w:t>
      </w:r>
      <w:r>
        <w:t xml:space="preserve">(New, Bourgin, Barra, &amp; Pallier, 2024)</w:t>
      </w:r>
      <w:r>
        <w:t xml:space="preserve"> </w:t>
      </w:r>
      <w:r>
        <w:t xml:space="preserve">and were phonologically and orthographically legal constructions in Spanish.</w:t>
      </w:r>
      <w:r>
        <w:t xml:space="preserve"> </w:t>
      </w:r>
      <w:r>
        <w:t xml:space="preserve">Real words were matched for lexical frequency, which was calculated using SUBTLEX-ESP</w:t>
      </w:r>
      <w:r>
        <w:t xml:space="preserve"> </w:t>
      </w:r>
      <w:r>
        <w:t xml:space="preserve">(Cuetos, Glez-Nosti, Barbón, &amp; Brysbaert, 2011)</w:t>
      </w:r>
      <w:r>
        <w:t xml:space="preserve">.</w:t>
      </w:r>
      <w:r>
        <w:t xml:space="preserve"> </w:t>
      </w:r>
      <w:r>
        <w:t xml:space="preserve">Double and triple cognates were orthographically identical.</w:t>
      </w:r>
      <w:r>
        <w:t xml:space="preserve"> </w:t>
      </w:r>
      <w:r>
        <w:t xml:space="preserve">Orthographic and phonological overlap were calculated using PHOR-In-One</w:t>
      </w:r>
      <w:r>
        <w:t xml:space="preserve"> </w:t>
      </w:r>
      <w:r>
        <w:t xml:space="preserve">(A. S. Costa, Comesaña, &amp; Soares, 2023)</w:t>
      </w:r>
      <w:r>
        <w:t xml:space="preserve">.</w:t>
      </w:r>
      <w:r>
        <w:t xml:space="preserve"> </w:t>
      </w:r>
      <w:r>
        <w:t xml:space="preserve">Table 1 summarizes the lexical properties of the stimuli items.</w:t>
      </w:r>
    </w:p>
    <w:p>
      <w:pPr>
        <w:pStyle w:val="TableCaption"/>
      </w:pPr>
      <w:bookmarkStart w:id="27" w:name="tab:stim-properties"/>
      <w:bookmarkEnd w:id="27"/>
      <w:r>
        <w:t xml:space="preserve">Table 1:</w:t>
      </w:r>
      <w:r>
        <w:t xml:space="preserve"> </w:t>
      </w:r>
      <w:r>
        <w:t xml:space="preserve">Descriptive statistics by stimulus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83"/>
        <w:gridCol w:w="1382"/>
        <w:gridCol w:w="1382"/>
        <w:gridCol w:w="1865"/>
        <w:gridCol w:w="1853"/>
        <w:gridCol w:w="1889"/>
        <w:gridCol w:w="1865"/>
        <w:gridCol w:w="1853"/>
        <w:gridCol w:w="1889"/>
      </w:tblGrid>
      <w:tr>
        <w:trPr>
          <w:trHeight w:val="611" w:hRule="auto"/>
          <w:tblHeader/>
        </w:trPr>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Orthographic NLD</w:t>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Phonological NLD</w:t>
            </w:r>
          </w:p>
        </w:tc>
      </w:tr>
      <w:tr>
        <w:trPr>
          <w:trHeight w:val="611"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Type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Length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Frequency</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English-German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English-Spanish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German-Spanish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English-German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English-Spanish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German-Spanish</w:t>
            </w:r>
          </w:p>
        </w:tc>
      </w:tr>
      <w:tr>
        <w:trPr>
          <w:trHeight w:val="61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Non-cognates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5.33 (0.83)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2.62 (0.83)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0.10 (0.07)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 (0.08)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0.06 (0.07)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0.37 (0.12)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0.40 (0.13)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0.38 (0.11)</w:t>
            </w:r>
          </w:p>
        </w:tc>
      </w:tr>
      <w:tr>
        <w:trPr>
          <w:trHeight w:val="61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Double cognates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5.46 (0.59)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2.53 (0.64)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0.10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0.10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0.40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0.78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0.39 (0.10)</w:t>
            </w:r>
          </w:p>
        </w:tc>
      </w:tr>
      <w:tr>
        <w:trPr>
          <w:trHeight w:val="61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Triple cognates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4.96 (0.75)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2.54 (0.64)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 (0.00)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 (0.00)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 (0.00)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0.78 (0.15)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 (0.13)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0.83 (0.17)</w:t>
            </w:r>
          </w:p>
        </w:tc>
      </w:tr>
    </w:tbl>
    <w:bookmarkEnd w:id="28"/>
    <w:bookmarkStart w:id="29" w:name="proficiency-tests"/>
    <w:p>
      <w:pPr>
        <w:pStyle w:val="Heading3"/>
      </w:pPr>
      <w:r>
        <w:t xml:space="preserve">Proficiency Tests</w:t>
      </w:r>
    </w:p>
    <w:p>
      <w:pPr>
        <w:pStyle w:val="FirstParagraph"/>
      </w:pPr>
      <w:r>
        <w:t xml:space="preserve">Participants completed two tests which provided a proxy of language proficiency based on vocabulary size.</w:t>
      </w:r>
      <w:r>
        <w:t xml:space="preserve"> </w:t>
      </w:r>
      <w:r>
        <w:t xml:space="preserve">English proficiency was measured using the Lexical Test for Advanced Learners of English</w:t>
      </w:r>
      <w:r>
        <w:t xml:space="preserve"> </w:t>
      </w:r>
      <w:r>
        <w:t xml:space="preserve">(LexTALE, Lemhöfer &amp; Broersma, 2012)</w:t>
      </w:r>
      <w:r>
        <w:t xml:space="preserve">.</w:t>
      </w:r>
      <w:r>
        <w:t xml:space="preserve"> </w:t>
      </w:r>
      <w:r>
        <w:t xml:space="preserve">The LexTALE is a widely used test that measures vocabulary knowledge via a lexical decision task.</w:t>
      </w:r>
      <w:r>
        <w:t xml:space="preserve"> </w:t>
      </w:r>
      <w:r>
        <w:t xml:space="preserve">The test includes 60 items, of which 40 are real words and 20 are pseudowords.</w:t>
      </w:r>
      <w:r>
        <w:t xml:space="preserve"> </w:t>
      </w:r>
      <w:r>
        <w:t xml:space="preserve">The real words include 15 nouns, 12 adjectives, 1 verb, 2 verb participles, 2 adverbs, and 8 items whose form is shared between verbs and nouns (e.g.,</w:t>
      </w:r>
      <w:r>
        <w:t xml:space="preserve"> </w:t>
      </w:r>
      <w:r>
        <w:rPr>
          <w:i/>
          <w:iCs/>
        </w:rPr>
        <w:t xml:space="preserve">dispatch</w:t>
      </w:r>
      <w:r>
        <w:t xml:space="preserve">).</w:t>
      </w:r>
      <w:r>
        <w:t xml:space="preserve"> </w:t>
      </w:r>
      <w:r>
        <w:t xml:space="preserve">The pseudowords follow the orthographic and phonological rules of English and were designed by changing letters and/or morphemes in real words.</w:t>
      </w:r>
      <w:r>
        <w:t xml:space="preserve"> </w:t>
      </w:r>
      <w:r>
        <w:t xml:space="preserve">All the test items are between 4 and 12 letters long.</w:t>
      </w:r>
      <w:r>
        <w:t xml:space="preserve"> </w:t>
      </w:r>
      <w:r>
        <w:t xml:space="preserve">Scoring is based only on accuracy, and scores range from 0 to 100.</w:t>
      </w:r>
      <w:r>
        <w:t xml:space="preserve"> </w:t>
      </w:r>
      <w:r>
        <w:t xml:space="preserve">Typically, the LexTALE is completed in no longer than four minutes.</w:t>
      </w:r>
    </w:p>
    <w:p>
      <w:pPr>
        <w:pStyle w:val="BodyText"/>
      </w:pPr>
      <w:r>
        <w:t xml:space="preserve">Spanish proficiency was assessed using the LexTALE-ESP</w:t>
      </w:r>
      <w:r>
        <w:t xml:space="preserve"> </w:t>
      </w:r>
      <w:r>
        <w:t xml:space="preserve">(Izura, Cuetos, &amp; Brysbaert, 2014)</w:t>
      </w:r>
      <w:r>
        <w:t xml:space="preserve">, which follows closely the design of the LexTALE but differs in some aspects.</w:t>
      </w:r>
      <w:r>
        <w:t xml:space="preserve"> </w:t>
      </w:r>
      <w:r>
        <w:t xml:space="preserve">The LexTALE-ESP has 90 items, of which 60 are real words and 30 are pseudowords.</w:t>
      </w:r>
      <w:r>
        <w:t xml:space="preserve"> </w:t>
      </w:r>
      <w:r>
        <w:t xml:space="preserve">The lexical frequency of the real words ranges from very high to very low.</w:t>
      </w:r>
      <w:r>
        <w:t xml:space="preserve"> </w:t>
      </w:r>
      <w:r>
        <w:t xml:space="preserve">The pseudowords are orthographically and phonologically legal constructions with similar endings to Spanish words from different syntactic categories.</w:t>
      </w:r>
      <w:r>
        <w:t xml:space="preserve"> </w:t>
      </w:r>
      <w:r>
        <w:t xml:space="preserve">All items are about 6.6 letters long on average.</w:t>
      </w:r>
      <w:r>
        <w:t xml:space="preserve"> </w:t>
      </w:r>
      <w:r>
        <w:t xml:space="preserve">Scoring is based on accuracy, and incorrect responses are penalized.</w:t>
      </w:r>
      <w:r>
        <w:t xml:space="preserve"> </w:t>
      </w:r>
      <w:r>
        <w:t xml:space="preserve">Scores range from -20 to 60.</w:t>
      </w:r>
      <w:r>
        <w:t xml:space="preserve"> </w:t>
      </w:r>
      <w:r>
        <w:t xml:space="preserve">This test usually takes less than five minutes to complete.</w:t>
      </w:r>
    </w:p>
    <w:bookmarkEnd w:id="29"/>
    <w:bookmarkEnd w:id="30"/>
    <w:bookmarkStart w:id="31" w:name="data-analysis"/>
    <w:p>
      <w:pPr>
        <w:pStyle w:val="Heading2"/>
      </w:pPr>
      <w:r>
        <w:t xml:space="preserve">Data Analysis</w:t>
      </w:r>
    </w:p>
    <w:p>
      <w:pPr>
        <w:pStyle w:val="FirstParagraph"/>
      </w:pPr>
      <w:r>
        <w:t xml:space="preserve">Describe data analysis.</w:t>
      </w:r>
    </w:p>
    <w:bookmarkEnd w:id="31"/>
    <w:bookmarkEnd w:id="32"/>
    <w:bookmarkStart w:id="33" w:name="results"/>
    <w:p>
      <w:pPr>
        <w:pStyle w:val="Heading1"/>
      </w:pPr>
      <w:r>
        <w:t xml:space="preserve">Results</w:t>
      </w:r>
    </w:p>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w:t>
      </w:r>
    </w:p>
    <w:p>
      <w:pPr>
        <w:pStyle w:val="FirstParagraph"/>
      </w:pPr>
      <w:r>
        <w:t xml:space="preserve">Figure</w:t>
      </w:r>
      <w:r>
        <w:t xml:space="preserve"> </w:t>
      </w:r>
      <w:r>
        <w:t xml:space="preserve">??</w:t>
      </w:r>
      <w:r>
        <w:t xml:space="preserve">.</w:t>
      </w:r>
    </w:p>
    <w:bookmarkEnd w:id="33"/>
    <w:bookmarkStart w:id="36" w:name="discussion"/>
    <w:p>
      <w:pPr>
        <w:pStyle w:val="Heading1"/>
      </w:pPr>
      <w:r>
        <w:t xml:space="preserve">Discussion</w:t>
      </w:r>
    </w:p>
    <w:p>
      <w:pPr>
        <w:pStyle w:val="FirstParagraph"/>
      </w:pPr>
      <w:r>
        <w:t xml:space="preserve">The present study investigated the role of cross-linguistic similarity in L3 lexical processing.</w:t>
      </w:r>
      <w:r>
        <w:t xml:space="preserve"> </w:t>
      </w:r>
      <w:r>
        <w:t xml:space="preserve">It examined whether cognate facilitation effects accumulate across three languages in multilingual individuals (L1 German, L2 English, L3 Spanish) by comparing the processing of double cognates (English-Spanish) and triple cognates (German-English-Spanish) in a visual lexical decision task in Spanish.</w:t>
      </w:r>
      <w:r>
        <w:t xml:space="preserve"> </w:t>
      </w:r>
      <w:r>
        <w:t xml:space="preserve">In addition, the study analyzed how L2 and L3 proficiency modulate cognate effects in L3 lexical processing.</w:t>
      </w:r>
      <w:r>
        <w:t xml:space="preserve"> </w:t>
      </w:r>
      <w:r>
        <w:t xml:space="preserve">Results revealed an overall cognate facilitation effect, where double and triple cognates were recognized faster than noncognates.</w:t>
      </w:r>
      <w:r>
        <w:t xml:space="preserve"> </w:t>
      </w:r>
      <w:r>
        <w:t xml:space="preserve">However, the results showed no compelling evidence of a cumulative cognate facilitation effect as response times for double and triple cognates did not differ.</w:t>
      </w:r>
      <w:r>
        <w:t xml:space="preserve"> </w:t>
      </w:r>
      <w:r>
        <w:t xml:space="preserve">Notably, while there was no clear evidence that L2 and L3 proficiency modulate L3 lexical processing, the cognate facilitation effect was slightly stronger in participants with higher Spanish proficiency.</w:t>
      </w:r>
      <w:r>
        <w:t xml:space="preserve"> </w:t>
      </w:r>
      <w:r>
        <w:t xml:space="preserve">Below, we discuss the results in light of previous empirical findings and existing theoretical models of cross-linguistic influence, particularly those addressing cumulative and selective transfer in multilingual lexical processing.</w:t>
      </w:r>
    </w:p>
    <w:bookmarkStart w:id="34" w:name="cognate-effects-in-l3-lexical-processing"/>
    <w:p>
      <w:pPr>
        <w:pStyle w:val="Heading2"/>
      </w:pPr>
      <w:r>
        <w:t xml:space="preserve">Cognate Effects in L3 Lexical Processing</w:t>
      </w:r>
    </w:p>
    <w:p>
      <w:pPr>
        <w:pStyle w:val="FirstParagraph"/>
      </w:pPr>
      <w:r>
        <w:t xml:space="preserve">Our first research question asked whether German-English-Spanish trilinguals process triple cognates faster than double cognates.</w:t>
      </w:r>
      <w:r>
        <w:t xml:space="preserve"> </w:t>
      </w:r>
      <w:r>
        <w:t xml:space="preserve">Given the mixed findings in the literature, we formulated two working hypotheses.</w:t>
      </w:r>
      <w:r>
        <w:t xml:space="preserve"> </w:t>
      </w:r>
      <w:r>
        <w:t xml:space="preserve">Based on the Accumulation model</w:t>
      </w:r>
      <w:r>
        <w:t xml:space="preserve"> </w:t>
      </w:r>
      <w:r>
        <w:t xml:space="preserve">(Bartolotti &amp; Marian, 2017)</w:t>
      </w:r>
      <w:r>
        <w:t xml:space="preserve"> </w:t>
      </w:r>
      <w:r>
        <w:t xml:space="preserve">and evidence from previous studies</w:t>
      </w:r>
      <w:r>
        <w:t xml:space="preserve"> </w:t>
      </w:r>
      <w:r>
        <w:t xml:space="preserve">(e.g., De Angelis, 2007; Foryś-Nogala et al., 2026; Lemhöfer et al., 2004; Poarch &amp; Hell, 2014; Szubko-Sitarek, 2011)</w:t>
      </w:r>
      <w:r>
        <w:t xml:space="preserve">, we hypothesized that trilinguals would process triple cognates faster than double cognates, indicating an additive advantage for lexical items that have increased cross-linguistic similarity.</w:t>
      </w:r>
      <w:r>
        <w:t xml:space="preserve"> </w:t>
      </w:r>
      <w:r>
        <w:t xml:space="preserve">On the other hand, following the Scaffolding model</w:t>
      </w:r>
      <w:r>
        <w:t xml:space="preserve"> </w:t>
      </w:r>
      <w:r>
        <w:t xml:space="preserve">(Bartolotti &amp; Marian, 2017)</w:t>
      </w:r>
      <w:r>
        <w:t xml:space="preserve"> </w:t>
      </w:r>
      <w:r>
        <w:t xml:space="preserve">and supporting evidence</w:t>
      </w:r>
      <w:r>
        <w:t xml:space="preserve"> </w:t>
      </w:r>
      <w:r>
        <w:t xml:space="preserve">(e.g., Bartolotti &amp; Marian, 2017; De Angelis, 2007; Engemann &amp; Radetzky, 2024; Lijewska, 2023; Lijewska &amp; Louw, 2025)</w:t>
      </w:r>
      <w:r>
        <w:t xml:space="preserve">, we also hypothesized that trilinguals would process triple and double cognates similarly, suggesting that overlapping with more than one previously acquired language does not have an additive advantage for L3 lexical processing.</w:t>
      </w:r>
      <w:r>
        <w:t xml:space="preserve"> </w:t>
      </w:r>
      <w:r>
        <w:t xml:space="preserve">Our results supported our second hypothesis as there were no differences in response times for triple and double cognates.</w:t>
      </w:r>
    </w:p>
    <w:p>
      <w:pPr>
        <w:pStyle w:val="BodyText"/>
      </w:pPr>
      <w:r>
        <w:t xml:space="preserve">As both double and triple cognates yielded faster responses than noncognates, the findings provide clear evidence for a robust cognate facilitation effect in L3 lexical processing.</w:t>
      </w:r>
      <w:r>
        <w:t xml:space="preserve"> </w:t>
      </w:r>
      <w:r>
        <w:t xml:space="preserve">The observed pattern is consistent with models of non-selective lexical access that posit that lexical representations from all previously acquired languages are co-activated during word recognition</w:t>
      </w:r>
      <w:r>
        <w:t xml:space="preserve"> </w:t>
      </w:r>
      <w:r>
        <w:t xml:space="preserve">(Dijkstra et al., 2018; Dijkstra &amp; Van Heuven, 2002)</w:t>
      </w:r>
      <w:r>
        <w:t xml:space="preserve">.</w:t>
      </w:r>
      <w:r>
        <w:t xml:space="preserve"> </w:t>
      </w:r>
      <w:r>
        <w:t xml:space="preserve">Cross-linguistic form overlap facilitates processing by increasing activation within an interconnected lexical network regardless of whether the overlap occurs between two or three languages.</w:t>
      </w:r>
      <w:r>
        <w:t xml:space="preserve"> </w:t>
      </w:r>
      <w:r>
        <w:t xml:space="preserve">Indeed, our results indicate that even partial cross-linguistic overlap is sufficient to trigger co-activation, which supports the Scaffolding model</w:t>
      </w:r>
      <w:r>
        <w:t xml:space="preserve"> </w:t>
      </w:r>
      <w:r>
        <w:t xml:space="preserve">(Bartolotti &amp; Marian, 2017)</w:t>
      </w:r>
      <w:r>
        <w:t xml:space="preserve">, where lexical benefits happen when a L3 word overlaps with at least one of the previously acquired languages, and the Parasitic Model</w:t>
      </w:r>
      <w:r>
        <w:t xml:space="preserve"> </w:t>
      </w:r>
      <w:r>
        <w:t xml:space="preserve">(Ecke, 2015)</w:t>
      </w:r>
      <w:r>
        <w:t xml:space="preserve">, where L3 learning is enhanced when a word attaches to a L1 or L2 host.</w:t>
      </w:r>
    </w:p>
    <w:p>
      <w:pPr>
        <w:pStyle w:val="BodyText"/>
      </w:pPr>
      <w:r>
        <w:t xml:space="preserve">Crucially, the results revealed no compelling evidence of a cumulative cognate facilitation effect.</w:t>
      </w:r>
      <w:r>
        <w:t xml:space="preserve"> </w:t>
      </w:r>
      <w:r>
        <w:t xml:space="preserve">The findings are in line with previous studies that found no cumulative benefits</w:t>
      </w:r>
      <w:r>
        <w:t xml:space="preserve"> </w:t>
      </w:r>
      <w:r>
        <w:t xml:space="preserve">(e.g., Bartolotti &amp; Marian, 2017; Engemann &amp; Radetzky, 2024; Lijewska, 2023; Lijewska &amp; Louw, 2025)</w:t>
      </w:r>
      <w:r>
        <w:t xml:space="preserve"> </w:t>
      </w:r>
      <w:r>
        <w:t xml:space="preserve">and challenge cumulative transfer accounts like the Accumulation model</w:t>
      </w:r>
      <w:r>
        <w:t xml:space="preserve"> </w:t>
      </w:r>
      <w:r>
        <w:t xml:space="preserve">(Bartolotti &amp; Marian, 2017)</w:t>
      </w:r>
      <w:r>
        <w:t xml:space="preserve">, which predict additive facilitation when cross-linguistic overlap happens across multiple languages.</w:t>
      </w:r>
      <w:r>
        <w:t xml:space="preserve"> </w:t>
      </w:r>
      <w:r>
        <w:t xml:space="preserve">The absence of a processing advantage for triple cognates suggests that lexical activation may reach a plateau once a certain threshold of cross-linguistic similarity is perceived.</w:t>
      </w:r>
      <w:r>
        <w:t xml:space="preserve"> </w:t>
      </w:r>
      <w:r>
        <w:t xml:space="preserve">Beyond this threshold, overlap with an additional language does not produce further facilitation, suggesting that the contribution of multiple languages is not strictly additive but subject to processing efficiency, competition of activated representations, among other factors.</w:t>
      </w:r>
    </w:p>
    <w:p>
      <w:pPr>
        <w:pStyle w:val="BodyText"/>
      </w:pPr>
      <w:r>
        <w:t xml:space="preserve">One possible explanation for the present findings concerns the L2-status factor</w:t>
      </w:r>
      <w:r>
        <w:t xml:space="preserve"> </w:t>
      </w:r>
      <w:r>
        <w:t xml:space="preserve">(Bardel &amp; Falk, 2007, 2012)</w:t>
      </w:r>
      <w:r>
        <w:t xml:space="preserve">, which argues that the L2 is the primary source of transfer in L3 acquisition and may override the L1 in many cases.</w:t>
      </w:r>
      <w:r>
        <w:t xml:space="preserve"> </w:t>
      </w:r>
      <w:r>
        <w:t xml:space="preserve">Due to similarities in the context of L2 and L3 learning, there is a higher degree of cognitive similarity between the L2 and the L3 than between the L1 and the L3, which may explain why additional overlap with the L1 did not cause a stronger facilitation effect than overlap with the L2.</w:t>
      </w:r>
      <w:r>
        <w:t xml:space="preserve"> </w:t>
      </w:r>
      <w:r>
        <w:t xml:space="preserve">Moreover, we can also explain the results in terms of psychotypology</w:t>
      </w:r>
      <w:r>
        <w:t xml:space="preserve"> </w:t>
      </w:r>
      <w:r>
        <w:t xml:space="preserve">(Kellerman, 1983)</w:t>
      </w:r>
      <w:r>
        <w:t xml:space="preserve"> </w:t>
      </w:r>
      <w:r>
        <w:t xml:space="preserve">and typological proximity accounts</w:t>
      </w:r>
      <w:r>
        <w:t xml:space="preserve"> </w:t>
      </w:r>
      <w:r>
        <w:t xml:space="preserve">(Rothman, 2011, 2013, 2015)</w:t>
      </w:r>
      <w:r>
        <w:t xml:space="preserve">, which suggest that language proximity affects cross-linguistic influence, with more similar languages producing stronger influence.</w:t>
      </w:r>
      <w:r>
        <w:t xml:space="preserve"> </w:t>
      </w:r>
      <w:r>
        <w:t xml:space="preserve">In the present study, given that English and Spanish share substantial orthographic and lexical similarity, it is plausible that L2 English serves as a primary source of influence in L3 word recognition, while the influence of L1 German may be less engaged.</w:t>
      </w:r>
    </w:p>
    <w:p>
      <w:pPr>
        <w:pStyle w:val="BodyText"/>
      </w:pPr>
      <w:r>
        <w:rPr>
          <w:b/>
          <w:bCs/>
        </w:rPr>
        <w:t xml:space="preserve">Need a closing paragraph here.</w:t>
      </w:r>
    </w:p>
    <w:bookmarkEnd w:id="34"/>
    <w:bookmarkStart w:id="35" w:name="the-role-of-l2-and-l3-proficiency"/>
    <w:p>
      <w:pPr>
        <w:pStyle w:val="Heading2"/>
      </w:pPr>
      <w:r>
        <w:t xml:space="preserve">The Role of L2 and L3 Proficiency</w:t>
      </w:r>
    </w:p>
    <w:p>
      <w:pPr>
        <w:pStyle w:val="FirstParagraph"/>
      </w:pPr>
      <w:r>
        <w:t xml:space="preserve">The second research question asked whether L2 and L3 proficiency modulate L3 cognate processing.</w:t>
      </w:r>
      <w:r>
        <w:t xml:space="preserve"> </w:t>
      </w:r>
      <w:r>
        <w:t xml:space="preserve">Following previous findings</w:t>
      </w:r>
      <w:r>
        <w:t xml:space="preserve"> </w:t>
      </w:r>
      <w:r>
        <w:t xml:space="preserve">(e.g., Lemhöfer et al., 2004; Poarch &amp; Hell, 2014; Szubko-Sitarek, 2011)</w:t>
      </w:r>
      <w:r>
        <w:t xml:space="preserve">, we predicted that higher L2 and L3 proficiency would facilitate L3 cognate processing.</w:t>
      </w:r>
      <w:r>
        <w:t xml:space="preserve"> </w:t>
      </w:r>
      <w:r>
        <w:t xml:space="preserve">However, the data did not show a positive association between higher proficiency and cognate facilitation.</w:t>
      </w:r>
      <w:r>
        <w:t xml:space="preserve"> </w:t>
      </w:r>
      <w:r>
        <w:t xml:space="preserve">The observed cognate facilitation effect was robust and not strongly modulated by either L2 or L3 proficiency.</w:t>
      </w:r>
      <w:r>
        <w:t xml:space="preserve"> </w:t>
      </w:r>
      <w:r>
        <w:t xml:space="preserve">There was a tendency for participants with higher Spanish proficiency to exhibit slightly stronger cognate facilitation, which may suggest that while cross-linguistic activation operates across proficiency levels, increased L3 proficiency may enhance the strength with which lexical representations are co-activated in L3 processing.</w:t>
      </w:r>
      <w:r>
        <w:t xml:space="preserve"> </w:t>
      </w:r>
      <w:r>
        <w:t xml:space="preserve">L2 and L3 proficiency did not determine whether facilitation occurred, but L3 proficiency may affect the extent of this effect.</w:t>
      </w:r>
      <w:r>
        <w:t xml:space="preserve"> </w:t>
      </w:r>
      <w:r>
        <w:t xml:space="preserve">After a certain level of proficiency, L3 lexical representations may consolidate and become more integrated into the broader multilingual system, enhancing the processing advantage for cognates</w:t>
      </w:r>
      <w:r>
        <w:t xml:space="preserve"> </w:t>
      </w:r>
      <w:r>
        <w:t xml:space="preserve">(Lemhöfer et al., 2004; Poarch &amp; Hell, 2014; Szubko-Sitarek, 2011)</w:t>
      </w:r>
      <w:r>
        <w:t xml:space="preserve">.</w:t>
      </w:r>
    </w:p>
    <w:p>
      <w:pPr>
        <w:pStyle w:val="BodyText"/>
      </w:pPr>
      <w:r>
        <w:t xml:space="preserve">In contrast, the lack of a clear effect of L2 proficiency may suggest that L2 English may have reached the necessary level of entrenchment to support cross-linguistic activation.</w:t>
      </w:r>
      <w:r>
        <w:t xml:space="preserve"> </w:t>
      </w:r>
      <w:r>
        <w:t xml:space="preserve">Once a certain threshold is attained, additional increases may not substantially influence L3 lexical processing, indicating that the role of the L2 in L3 lexical processing may be categorical.</w:t>
      </w:r>
      <w:r>
        <w:t xml:space="preserve"> </w:t>
      </w:r>
      <w:r>
        <w:t xml:space="preserve">That is, L2 influence is either present or absent depending on whether it is sufficiently activated withtin the multilingual system.</w:t>
      </w:r>
      <w:r>
        <w:t xml:space="preserve"> </w:t>
      </w:r>
    </w:p>
    <w:p>
      <w:pPr>
        <w:pStyle w:val="BodyText"/>
      </w:pPr>
      <w:r>
        <w:t xml:space="preserve">Taken together, these findings have important implications for models of multilingual lexical processing.</w:t>
      </w:r>
      <w:r>
        <w:t xml:space="preserve"> </w:t>
      </w:r>
      <w:r>
        <w:t xml:space="preserve">On the one hand, the presence of cognate facilitation supports models that assume non-selective access and parallel activation across languages.</w:t>
      </w:r>
      <w:r>
        <w:t xml:space="preserve"> </w:t>
      </w:r>
      <w:r>
        <w:t xml:space="preserve">On the other hand, the absence of cumulative effects and the limited role of proficiency challenge models that predict additive contributions from multiple languages or strong modulation by proficiency alone.</w:t>
      </w:r>
      <w:r>
        <w:t xml:space="preserve"> </w:t>
      </w:r>
      <w:r>
        <w:t xml:space="preserve">Instead, the present results point toward a more nuanced view in which cross-linguistic activation is shaped by an interaction of factors, including language dominance, typological similarity, and task demands.</w:t>
      </w:r>
      <w:r>
        <w:t xml:space="preserve"> </w:t>
      </w:r>
      <w:r>
        <w:t xml:space="preserve">Finally, it is worth noting that individual variability in multilingual experience may further modulate these effects.</w:t>
      </w:r>
      <w:r>
        <w:t xml:space="preserve"> </w:t>
      </w:r>
      <w:r>
        <w:t xml:space="preserve">Factors such as frequency of language use, context of acquisition, and patterns of language switching could influence the extent to which different languages are co-activated during processing.</w:t>
      </w:r>
      <w:r>
        <w:t xml:space="preserve"> </w:t>
      </w:r>
      <w:r>
        <w:t xml:space="preserve">Although such variables were not directly examined in the present study, they represent promising avenues for future research.</w:t>
      </w:r>
    </w:p>
    <w:bookmarkEnd w:id="35"/>
    <w:bookmarkEnd w:id="36"/>
    <w:bookmarkStart w:id="37" w:name="conclusion"/>
    <w:p>
      <w:pPr>
        <w:pStyle w:val="Heading1"/>
      </w:pPr>
      <w:r>
        <w:t xml:space="preserve">Conclusion</w:t>
      </w:r>
    </w:p>
    <w:p>
      <w:pPr>
        <w:pStyle w:val="FirstParagraph"/>
      </w:pPr>
      <w:r>
        <w:t xml:space="preserve">Conclusion goes here.</w:t>
      </w:r>
    </w:p>
    <w:p>
      <w:r>
        <w:br w:type="page"/>
      </w:r>
    </w:p>
    <w:bookmarkEnd w:id="37"/>
    <w:bookmarkStart w:id="39" w:name="X421aa8c25e75d5bda444d1508fbcc66cb0dedf6"/>
    <w:p>
      <w:pPr>
        <w:pStyle w:val="Heading1"/>
      </w:pPr>
      <w:r>
        <w:t xml:space="preserve">Appendix A: Stimulus List of the Lexical Decision Task</w:t>
      </w:r>
    </w:p>
    <w:p>
      <w:pPr>
        <w:pStyle w:val="TableCaption"/>
      </w:pPr>
      <w:bookmarkStart w:id="38" w:name="tab:stim-table-appendix"/>
      <w:bookmarkEnd w:id="38"/>
      <w:r>
        <w:t xml:space="preserve">Table 2: Stimulus List</w:t>
      </w:r>
    </w:p>
    <w:tbl>
      <w:tblPr>
        <w:tblStyle w:val="Table"/>
        <w:tblW w:type="auto" w:w="0"/>
        <w:tblLook w:firstRow="1" w:lastRow="0" w:firstColumn="0" w:lastColumn="0" w:noHBand="0" w:noVBand="0" w:val="0020"/>
        <w:tblCaption w:val="Table 2: Stimulus List"/>
      </w:tblPr>
      <w:tblGrid>
        <w:gridCol w:w="1980"/>
        <w:gridCol w:w="1980"/>
        <w:gridCol w:w="1980"/>
        <w:gridCol w:w="1980"/>
      </w:tblGrid>
      <w:tr>
        <w:trPr>
          <w:tblHeader w:val="on"/>
        </w:trPr>
        <w:tc>
          <w:tcPr/>
          <w:p>
            <w:pPr>
              <w:pStyle w:val="Compact"/>
              <w:jc w:val="center"/>
            </w:pPr>
            <w:r>
              <w:t xml:space="preserve">English</w:t>
            </w:r>
          </w:p>
        </w:tc>
        <w:tc>
          <w:tcPr/>
          <w:p>
            <w:pPr>
              <w:pStyle w:val="Compact"/>
              <w:jc w:val="center"/>
            </w:pPr>
            <w:r>
              <w:t xml:space="preserve">German</w:t>
            </w:r>
          </w:p>
        </w:tc>
        <w:tc>
          <w:tcPr/>
          <w:p>
            <w:pPr>
              <w:pStyle w:val="Compact"/>
              <w:jc w:val="center"/>
            </w:pPr>
            <w:r>
              <w:t xml:space="preserve">Spanish</w:t>
            </w:r>
          </w:p>
        </w:tc>
        <w:tc>
          <w:tcPr/>
          <w:p>
            <w:pPr>
              <w:pStyle w:val="Compact"/>
              <w:jc w:val="center"/>
            </w:pPr>
            <w:r>
              <w:t xml:space="preserve">Word Type</w:t>
            </w:r>
          </w:p>
        </w:tc>
      </w:tr>
      <w:tr>
        <w:tc>
          <w:tcPr/>
          <w:p>
            <w:pPr>
              <w:pStyle w:val="Compact"/>
              <w:jc w:val="center"/>
            </w:pPr>
            <w:r>
              <w:t xml:space="preserve">moral</w:t>
            </w:r>
          </w:p>
        </w:tc>
        <w:tc>
          <w:tcPr/>
          <w:p>
            <w:pPr>
              <w:pStyle w:val="Compact"/>
              <w:jc w:val="center"/>
            </w:pPr>
            <w:r>
              <w:t xml:space="preserve">Moral</w:t>
            </w:r>
          </w:p>
        </w:tc>
        <w:tc>
          <w:tcPr/>
          <w:p>
            <w:pPr>
              <w:pStyle w:val="Compact"/>
              <w:jc w:val="center"/>
            </w:pPr>
            <w:r>
              <w:t xml:space="preserve">moral</w:t>
            </w:r>
          </w:p>
        </w:tc>
        <w:tc>
          <w:tcPr/>
          <w:p>
            <w:pPr>
              <w:pStyle w:val="Compact"/>
              <w:jc w:val="center"/>
            </w:pPr>
            <w:r>
              <w:t xml:space="preserve">triple cognate</w:t>
            </w:r>
          </w:p>
        </w:tc>
      </w:tr>
      <w:tr>
        <w:tc>
          <w:tcPr/>
          <w:p>
            <w:pPr>
              <w:pStyle w:val="Compact"/>
              <w:jc w:val="center"/>
            </w:pPr>
            <w:r>
              <w:t xml:space="preserve">tumor</w:t>
            </w:r>
          </w:p>
        </w:tc>
        <w:tc>
          <w:tcPr/>
          <w:p>
            <w:pPr>
              <w:pStyle w:val="Compact"/>
              <w:jc w:val="center"/>
            </w:pPr>
            <w:r>
              <w:t xml:space="preserve">Tumor</w:t>
            </w:r>
          </w:p>
        </w:tc>
        <w:tc>
          <w:tcPr/>
          <w:p>
            <w:pPr>
              <w:pStyle w:val="Compact"/>
              <w:jc w:val="center"/>
            </w:pPr>
            <w:r>
              <w:t xml:space="preserve">tumor</w:t>
            </w:r>
          </w:p>
        </w:tc>
        <w:tc>
          <w:tcPr/>
          <w:p>
            <w:pPr>
              <w:pStyle w:val="Compact"/>
              <w:jc w:val="center"/>
            </w:pPr>
            <w:r>
              <w:t xml:space="preserve">triple cognate</w:t>
            </w:r>
          </w:p>
        </w:tc>
      </w:tr>
      <w:tr>
        <w:tc>
          <w:tcPr/>
          <w:p>
            <w:pPr>
              <w:pStyle w:val="Compact"/>
              <w:jc w:val="center"/>
            </w:pPr>
            <w:r>
              <w:t xml:space="preserve">disco</w:t>
            </w:r>
          </w:p>
        </w:tc>
        <w:tc>
          <w:tcPr/>
          <w:p>
            <w:pPr>
              <w:pStyle w:val="Compact"/>
              <w:jc w:val="center"/>
            </w:pPr>
            <w:r>
              <w:t xml:space="preserve">Disco</w:t>
            </w:r>
          </w:p>
        </w:tc>
        <w:tc>
          <w:tcPr/>
          <w:p>
            <w:pPr>
              <w:pStyle w:val="Compact"/>
              <w:jc w:val="center"/>
            </w:pPr>
            <w:r>
              <w:t xml:space="preserve">disco</w:t>
            </w:r>
          </w:p>
        </w:tc>
        <w:tc>
          <w:tcPr/>
          <w:p>
            <w:pPr>
              <w:pStyle w:val="Compact"/>
              <w:jc w:val="center"/>
            </w:pPr>
            <w:r>
              <w:t xml:space="preserve">triple cognate</w:t>
            </w:r>
          </w:p>
        </w:tc>
      </w:tr>
      <w:tr>
        <w:tc>
          <w:tcPr/>
          <w:p>
            <w:pPr>
              <w:pStyle w:val="Compact"/>
              <w:jc w:val="center"/>
            </w:pPr>
            <w:r>
              <w:t xml:space="preserve">flora</w:t>
            </w:r>
          </w:p>
        </w:tc>
        <w:tc>
          <w:tcPr/>
          <w:p>
            <w:pPr>
              <w:pStyle w:val="Compact"/>
              <w:jc w:val="center"/>
            </w:pPr>
            <w:r>
              <w:t xml:space="preserve">Flora</w:t>
            </w:r>
          </w:p>
        </w:tc>
        <w:tc>
          <w:tcPr/>
          <w:p>
            <w:pPr>
              <w:pStyle w:val="Compact"/>
              <w:jc w:val="center"/>
            </w:pPr>
            <w:r>
              <w:t xml:space="preserve">flora</w:t>
            </w:r>
          </w:p>
        </w:tc>
        <w:tc>
          <w:tcPr/>
          <w:p>
            <w:pPr>
              <w:pStyle w:val="Compact"/>
              <w:jc w:val="center"/>
            </w:pPr>
            <w:r>
              <w:t xml:space="preserve">triple cognate</w:t>
            </w:r>
          </w:p>
        </w:tc>
      </w:tr>
      <w:tr>
        <w:tc>
          <w:tcPr/>
          <w:p>
            <w:pPr>
              <w:pStyle w:val="Compact"/>
              <w:jc w:val="center"/>
            </w:pPr>
            <w:r>
              <w:t xml:space="preserve">extra</w:t>
            </w:r>
          </w:p>
        </w:tc>
        <w:tc>
          <w:tcPr/>
          <w:p>
            <w:pPr>
              <w:pStyle w:val="Compact"/>
              <w:jc w:val="center"/>
            </w:pPr>
            <w:r>
              <w:t xml:space="preserve">extra</w:t>
            </w:r>
          </w:p>
        </w:tc>
        <w:tc>
          <w:tcPr/>
          <w:p>
            <w:pPr>
              <w:pStyle w:val="Compact"/>
              <w:jc w:val="center"/>
            </w:pPr>
            <w:r>
              <w:t xml:space="preserve">extra</w:t>
            </w:r>
          </w:p>
        </w:tc>
        <w:tc>
          <w:tcPr/>
          <w:p>
            <w:pPr>
              <w:pStyle w:val="Compact"/>
              <w:jc w:val="center"/>
            </w:pPr>
            <w:r>
              <w:t xml:space="preserve">triple cognate</w:t>
            </w:r>
          </w:p>
        </w:tc>
      </w:tr>
      <w:tr>
        <w:tc>
          <w:tcPr/>
          <w:p>
            <w:pPr>
              <w:pStyle w:val="Compact"/>
              <w:jc w:val="center"/>
            </w:pPr>
            <w:r>
              <w:t xml:space="preserve">horror</w:t>
            </w:r>
          </w:p>
        </w:tc>
        <w:tc>
          <w:tcPr/>
          <w:p>
            <w:pPr>
              <w:pStyle w:val="Compact"/>
              <w:jc w:val="center"/>
            </w:pPr>
            <w:r>
              <w:t xml:space="preserve">Horror</w:t>
            </w:r>
          </w:p>
        </w:tc>
        <w:tc>
          <w:tcPr/>
          <w:p>
            <w:pPr>
              <w:pStyle w:val="Compact"/>
              <w:jc w:val="center"/>
            </w:pPr>
            <w:r>
              <w:t xml:space="preserve">horror</w:t>
            </w:r>
          </w:p>
        </w:tc>
        <w:tc>
          <w:tcPr/>
          <w:p>
            <w:pPr>
              <w:pStyle w:val="Compact"/>
              <w:jc w:val="center"/>
            </w:pPr>
            <w:r>
              <w:t xml:space="preserve">triple cognate</w:t>
            </w:r>
          </w:p>
        </w:tc>
      </w:tr>
      <w:tr>
        <w:tc>
          <w:tcPr/>
          <w:p>
            <w:pPr>
              <w:pStyle w:val="Compact"/>
              <w:jc w:val="center"/>
            </w:pPr>
            <w:r>
              <w:t xml:space="preserve">albino</w:t>
            </w:r>
          </w:p>
        </w:tc>
        <w:tc>
          <w:tcPr/>
          <w:p>
            <w:pPr>
              <w:pStyle w:val="Compact"/>
              <w:jc w:val="center"/>
            </w:pPr>
            <w:r>
              <w:t xml:space="preserve">Albino</w:t>
            </w:r>
          </w:p>
        </w:tc>
        <w:tc>
          <w:tcPr/>
          <w:p>
            <w:pPr>
              <w:pStyle w:val="Compact"/>
              <w:jc w:val="center"/>
            </w:pPr>
            <w:r>
              <w:t xml:space="preserve">albino</w:t>
            </w:r>
          </w:p>
        </w:tc>
        <w:tc>
          <w:tcPr/>
          <w:p>
            <w:pPr>
              <w:pStyle w:val="Compact"/>
              <w:jc w:val="center"/>
            </w:pPr>
            <w:r>
              <w:t xml:space="preserve">triple cognate</w:t>
            </w:r>
          </w:p>
        </w:tc>
      </w:tr>
      <w:tr>
        <w:tc>
          <w:tcPr/>
          <w:p>
            <w:pPr>
              <w:pStyle w:val="Compact"/>
              <w:jc w:val="center"/>
            </w:pPr>
            <w:r>
              <w:t xml:space="preserve">kilo</w:t>
            </w:r>
          </w:p>
        </w:tc>
        <w:tc>
          <w:tcPr/>
          <w:p>
            <w:pPr>
              <w:pStyle w:val="Compact"/>
              <w:jc w:val="center"/>
            </w:pPr>
            <w:r>
              <w:t xml:space="preserve">Kilo</w:t>
            </w:r>
          </w:p>
        </w:tc>
        <w:tc>
          <w:tcPr/>
          <w:p>
            <w:pPr>
              <w:pStyle w:val="Compact"/>
              <w:jc w:val="center"/>
            </w:pPr>
            <w:r>
              <w:t xml:space="preserve">kilo</w:t>
            </w:r>
          </w:p>
        </w:tc>
        <w:tc>
          <w:tcPr/>
          <w:p>
            <w:pPr>
              <w:pStyle w:val="Compact"/>
              <w:jc w:val="center"/>
            </w:pPr>
            <w:r>
              <w:t xml:space="preserve">triple cognate</w:t>
            </w:r>
          </w:p>
        </w:tc>
      </w:tr>
      <w:tr>
        <w:tc>
          <w:tcPr/>
          <w:p>
            <w:pPr>
              <w:pStyle w:val="Compact"/>
              <w:jc w:val="center"/>
            </w:pPr>
            <w:r>
              <w:t xml:space="preserve">portal</w:t>
            </w:r>
          </w:p>
        </w:tc>
        <w:tc>
          <w:tcPr/>
          <w:p>
            <w:pPr>
              <w:pStyle w:val="Compact"/>
              <w:jc w:val="center"/>
            </w:pPr>
            <w:r>
              <w:t xml:space="preserve">Portal</w:t>
            </w:r>
          </w:p>
        </w:tc>
        <w:tc>
          <w:tcPr/>
          <w:p>
            <w:pPr>
              <w:pStyle w:val="Compact"/>
              <w:jc w:val="center"/>
            </w:pPr>
            <w:r>
              <w:t xml:space="preserve">portal</w:t>
            </w:r>
          </w:p>
        </w:tc>
        <w:tc>
          <w:tcPr/>
          <w:p>
            <w:pPr>
              <w:pStyle w:val="Compact"/>
              <w:jc w:val="center"/>
            </w:pPr>
            <w:r>
              <w:t xml:space="preserve">triple cognate</w:t>
            </w:r>
          </w:p>
        </w:tc>
      </w:tr>
      <w:tr>
        <w:tc>
          <w:tcPr/>
          <w:p>
            <w:pPr>
              <w:pStyle w:val="Compact"/>
              <w:jc w:val="center"/>
            </w:pPr>
            <w:r>
              <w:t xml:space="preserve">drama</w:t>
            </w:r>
          </w:p>
        </w:tc>
        <w:tc>
          <w:tcPr/>
          <w:p>
            <w:pPr>
              <w:pStyle w:val="Compact"/>
              <w:jc w:val="center"/>
            </w:pPr>
            <w:r>
              <w:t xml:space="preserve">Drama</w:t>
            </w:r>
          </w:p>
        </w:tc>
        <w:tc>
          <w:tcPr/>
          <w:p>
            <w:pPr>
              <w:pStyle w:val="Compact"/>
              <w:jc w:val="center"/>
            </w:pPr>
            <w:r>
              <w:t xml:space="preserve">drama</w:t>
            </w:r>
          </w:p>
        </w:tc>
        <w:tc>
          <w:tcPr/>
          <w:p>
            <w:pPr>
              <w:pStyle w:val="Compact"/>
              <w:jc w:val="center"/>
            </w:pPr>
            <w:r>
              <w:t xml:space="preserve">triple cognate</w:t>
            </w:r>
          </w:p>
        </w:tc>
      </w:tr>
      <w:tr>
        <w:tc>
          <w:tcPr/>
          <w:p>
            <w:pPr>
              <w:pStyle w:val="Compact"/>
              <w:jc w:val="center"/>
            </w:pPr>
            <w:r>
              <w:t xml:space="preserve">golf</w:t>
            </w:r>
          </w:p>
        </w:tc>
        <w:tc>
          <w:tcPr/>
          <w:p>
            <w:pPr>
              <w:pStyle w:val="Compact"/>
              <w:jc w:val="center"/>
            </w:pPr>
            <w:r>
              <w:t xml:space="preserve">Golf</w:t>
            </w:r>
          </w:p>
        </w:tc>
        <w:tc>
          <w:tcPr/>
          <w:p>
            <w:pPr>
              <w:pStyle w:val="Compact"/>
              <w:jc w:val="center"/>
            </w:pPr>
            <w:r>
              <w:t xml:space="preserve">golf</w:t>
            </w:r>
          </w:p>
        </w:tc>
        <w:tc>
          <w:tcPr/>
          <w:p>
            <w:pPr>
              <w:pStyle w:val="Compact"/>
              <w:jc w:val="center"/>
            </w:pPr>
            <w:r>
              <w:t xml:space="preserve">triple cognate</w:t>
            </w:r>
          </w:p>
        </w:tc>
      </w:tr>
      <w:tr>
        <w:tc>
          <w:tcPr/>
          <w:p>
            <w:pPr>
              <w:pStyle w:val="Compact"/>
              <w:jc w:val="center"/>
            </w:pPr>
            <w:r>
              <w:t xml:space="preserve">dogma</w:t>
            </w:r>
          </w:p>
        </w:tc>
        <w:tc>
          <w:tcPr/>
          <w:p>
            <w:pPr>
              <w:pStyle w:val="Compact"/>
              <w:jc w:val="center"/>
            </w:pPr>
            <w:r>
              <w:t xml:space="preserve">Dogma</w:t>
            </w:r>
          </w:p>
        </w:tc>
        <w:tc>
          <w:tcPr/>
          <w:p>
            <w:pPr>
              <w:pStyle w:val="Compact"/>
              <w:jc w:val="center"/>
            </w:pPr>
            <w:r>
              <w:t xml:space="preserve">dogma</w:t>
            </w:r>
          </w:p>
        </w:tc>
        <w:tc>
          <w:tcPr/>
          <w:p>
            <w:pPr>
              <w:pStyle w:val="Compact"/>
              <w:jc w:val="center"/>
            </w:pPr>
            <w:r>
              <w:t xml:space="preserve">triple cognate</w:t>
            </w:r>
          </w:p>
        </w:tc>
      </w:tr>
      <w:tr>
        <w:tc>
          <w:tcPr/>
          <w:p>
            <w:pPr>
              <w:pStyle w:val="Compact"/>
              <w:jc w:val="center"/>
            </w:pPr>
            <w:r>
              <w:t xml:space="preserve">plan</w:t>
            </w:r>
          </w:p>
        </w:tc>
        <w:tc>
          <w:tcPr/>
          <w:p>
            <w:pPr>
              <w:pStyle w:val="Compact"/>
              <w:jc w:val="center"/>
            </w:pPr>
            <w:r>
              <w:t xml:space="preserve">Plan</w:t>
            </w:r>
          </w:p>
        </w:tc>
        <w:tc>
          <w:tcPr/>
          <w:p>
            <w:pPr>
              <w:pStyle w:val="Compact"/>
              <w:jc w:val="center"/>
            </w:pPr>
            <w:r>
              <w:t xml:space="preserve">plan</w:t>
            </w:r>
          </w:p>
        </w:tc>
        <w:tc>
          <w:tcPr/>
          <w:p>
            <w:pPr>
              <w:pStyle w:val="Compact"/>
              <w:jc w:val="center"/>
            </w:pPr>
            <w:r>
              <w:t xml:space="preserve">triple cognate</w:t>
            </w:r>
          </w:p>
        </w:tc>
      </w:tr>
      <w:tr>
        <w:tc>
          <w:tcPr/>
          <w:p>
            <w:pPr>
              <w:pStyle w:val="Compact"/>
              <w:jc w:val="center"/>
            </w:pPr>
            <w:r>
              <w:t xml:space="preserve">aura</w:t>
            </w:r>
          </w:p>
        </w:tc>
        <w:tc>
          <w:tcPr/>
          <w:p>
            <w:pPr>
              <w:pStyle w:val="Compact"/>
              <w:jc w:val="center"/>
            </w:pPr>
            <w:r>
              <w:t xml:space="preserve">Aura</w:t>
            </w:r>
          </w:p>
        </w:tc>
        <w:tc>
          <w:tcPr/>
          <w:p>
            <w:pPr>
              <w:pStyle w:val="Compact"/>
              <w:jc w:val="center"/>
            </w:pPr>
            <w:r>
              <w:t xml:space="preserve">aura</w:t>
            </w:r>
          </w:p>
        </w:tc>
        <w:tc>
          <w:tcPr/>
          <w:p>
            <w:pPr>
              <w:pStyle w:val="Compact"/>
              <w:jc w:val="center"/>
            </w:pPr>
            <w:r>
              <w:t xml:space="preserve">triple cognate</w:t>
            </w:r>
          </w:p>
        </w:tc>
      </w:tr>
      <w:tr>
        <w:tc>
          <w:tcPr/>
          <w:p>
            <w:pPr>
              <w:pStyle w:val="Compact"/>
              <w:jc w:val="center"/>
            </w:pPr>
            <w:r>
              <w:t xml:space="preserve">test</w:t>
            </w:r>
          </w:p>
        </w:tc>
        <w:tc>
          <w:tcPr/>
          <w:p>
            <w:pPr>
              <w:pStyle w:val="Compact"/>
              <w:jc w:val="center"/>
            </w:pPr>
            <w:r>
              <w:t xml:space="preserve">Test</w:t>
            </w:r>
          </w:p>
        </w:tc>
        <w:tc>
          <w:tcPr/>
          <w:p>
            <w:pPr>
              <w:pStyle w:val="Compact"/>
              <w:jc w:val="center"/>
            </w:pPr>
            <w:r>
              <w:t xml:space="preserve">test</w:t>
            </w:r>
          </w:p>
        </w:tc>
        <w:tc>
          <w:tcPr/>
          <w:p>
            <w:pPr>
              <w:pStyle w:val="Compact"/>
              <w:jc w:val="center"/>
            </w:pPr>
            <w:r>
              <w:t xml:space="preserve">triple cognate</w:t>
            </w:r>
          </w:p>
        </w:tc>
      </w:tr>
      <w:tr>
        <w:tc>
          <w:tcPr/>
          <w:p>
            <w:pPr>
              <w:pStyle w:val="Compact"/>
              <w:jc w:val="center"/>
            </w:pPr>
            <w:r>
              <w:t xml:space="preserve">chat</w:t>
            </w:r>
          </w:p>
        </w:tc>
        <w:tc>
          <w:tcPr/>
          <w:p>
            <w:pPr>
              <w:pStyle w:val="Compact"/>
              <w:jc w:val="center"/>
            </w:pPr>
            <w:r>
              <w:t xml:space="preserve">Chat</w:t>
            </w:r>
          </w:p>
        </w:tc>
        <w:tc>
          <w:tcPr/>
          <w:p>
            <w:pPr>
              <w:pStyle w:val="Compact"/>
              <w:jc w:val="center"/>
            </w:pPr>
            <w:r>
              <w:t xml:space="preserve">chat</w:t>
            </w:r>
          </w:p>
        </w:tc>
        <w:tc>
          <w:tcPr/>
          <w:p>
            <w:pPr>
              <w:pStyle w:val="Compact"/>
              <w:jc w:val="center"/>
            </w:pPr>
            <w:r>
              <w:t xml:space="preserve">triple cognate</w:t>
            </w:r>
          </w:p>
        </w:tc>
      </w:tr>
      <w:tr>
        <w:tc>
          <w:tcPr/>
          <w:p>
            <w:pPr>
              <w:pStyle w:val="Compact"/>
              <w:jc w:val="center"/>
            </w:pPr>
            <w:r>
              <w:t xml:space="preserve">clan</w:t>
            </w:r>
          </w:p>
        </w:tc>
        <w:tc>
          <w:tcPr/>
          <w:p>
            <w:pPr>
              <w:pStyle w:val="Compact"/>
              <w:jc w:val="center"/>
            </w:pPr>
            <w:r>
              <w:t xml:space="preserve">Clan</w:t>
            </w:r>
          </w:p>
        </w:tc>
        <w:tc>
          <w:tcPr/>
          <w:p>
            <w:pPr>
              <w:pStyle w:val="Compact"/>
              <w:jc w:val="center"/>
            </w:pPr>
            <w:r>
              <w:t xml:space="preserve">clan</w:t>
            </w:r>
          </w:p>
        </w:tc>
        <w:tc>
          <w:tcPr/>
          <w:p>
            <w:pPr>
              <w:pStyle w:val="Compact"/>
              <w:jc w:val="center"/>
            </w:pPr>
            <w:r>
              <w:t xml:space="preserve">triple cognate</w:t>
            </w:r>
          </w:p>
        </w:tc>
      </w:tr>
      <w:tr>
        <w:tc>
          <w:tcPr/>
          <w:p>
            <w:pPr>
              <w:pStyle w:val="Compact"/>
              <w:jc w:val="center"/>
            </w:pPr>
            <w:r>
              <w:t xml:space="preserve">altar</w:t>
            </w:r>
          </w:p>
        </w:tc>
        <w:tc>
          <w:tcPr/>
          <w:p>
            <w:pPr>
              <w:pStyle w:val="Compact"/>
              <w:jc w:val="center"/>
            </w:pPr>
            <w:r>
              <w:t xml:space="preserve">Altar</w:t>
            </w:r>
          </w:p>
        </w:tc>
        <w:tc>
          <w:tcPr/>
          <w:p>
            <w:pPr>
              <w:pStyle w:val="Compact"/>
              <w:jc w:val="center"/>
            </w:pPr>
            <w:r>
              <w:t xml:space="preserve">altar</w:t>
            </w:r>
          </w:p>
        </w:tc>
        <w:tc>
          <w:tcPr/>
          <w:p>
            <w:pPr>
              <w:pStyle w:val="Compact"/>
              <w:jc w:val="center"/>
            </w:pPr>
            <w:r>
              <w:t xml:space="preserve">triple cognate</w:t>
            </w:r>
          </w:p>
        </w:tc>
      </w:tr>
      <w:tr>
        <w:tc>
          <w:tcPr/>
          <w:p>
            <w:pPr>
              <w:pStyle w:val="Compact"/>
              <w:jc w:val="center"/>
            </w:pPr>
            <w:r>
              <w:t xml:space="preserve">mafia</w:t>
            </w:r>
          </w:p>
        </w:tc>
        <w:tc>
          <w:tcPr/>
          <w:p>
            <w:pPr>
              <w:pStyle w:val="Compact"/>
              <w:jc w:val="center"/>
            </w:pPr>
            <w:r>
              <w:t xml:space="preserve">Mafia</w:t>
            </w:r>
          </w:p>
        </w:tc>
        <w:tc>
          <w:tcPr/>
          <w:p>
            <w:pPr>
              <w:pStyle w:val="Compact"/>
              <w:jc w:val="center"/>
            </w:pPr>
            <w:r>
              <w:t xml:space="preserve">mafia</w:t>
            </w:r>
          </w:p>
        </w:tc>
        <w:tc>
          <w:tcPr/>
          <w:p>
            <w:pPr>
              <w:pStyle w:val="Compact"/>
              <w:jc w:val="center"/>
            </w:pPr>
            <w:r>
              <w:t xml:space="preserve">triple cognate</w:t>
            </w:r>
          </w:p>
        </w:tc>
      </w:tr>
      <w:tr>
        <w:tc>
          <w:tcPr/>
          <w:p>
            <w:pPr>
              <w:pStyle w:val="Compact"/>
              <w:jc w:val="center"/>
            </w:pPr>
            <w:r>
              <w:t xml:space="preserve">trauma</w:t>
            </w:r>
          </w:p>
        </w:tc>
        <w:tc>
          <w:tcPr/>
          <w:p>
            <w:pPr>
              <w:pStyle w:val="Compact"/>
              <w:jc w:val="center"/>
            </w:pPr>
            <w:r>
              <w:t xml:space="preserve">Trauma</w:t>
            </w:r>
          </w:p>
        </w:tc>
        <w:tc>
          <w:tcPr/>
          <w:p>
            <w:pPr>
              <w:pStyle w:val="Compact"/>
              <w:jc w:val="center"/>
            </w:pPr>
            <w:r>
              <w:t xml:space="preserve">trauma</w:t>
            </w:r>
          </w:p>
        </w:tc>
        <w:tc>
          <w:tcPr/>
          <w:p>
            <w:pPr>
              <w:pStyle w:val="Compact"/>
              <w:jc w:val="center"/>
            </w:pPr>
            <w:r>
              <w:t xml:space="preserve">triple cognate</w:t>
            </w:r>
          </w:p>
        </w:tc>
      </w:tr>
      <w:tr>
        <w:tc>
          <w:tcPr/>
          <w:p>
            <w:pPr>
              <w:pStyle w:val="Compact"/>
              <w:jc w:val="center"/>
            </w:pPr>
            <w:r>
              <w:t xml:space="preserve">hotel</w:t>
            </w:r>
          </w:p>
        </w:tc>
        <w:tc>
          <w:tcPr/>
          <w:p>
            <w:pPr>
              <w:pStyle w:val="Compact"/>
              <w:jc w:val="center"/>
            </w:pPr>
            <w:r>
              <w:t xml:space="preserve">Hotel</w:t>
            </w:r>
          </w:p>
        </w:tc>
        <w:tc>
          <w:tcPr/>
          <w:p>
            <w:pPr>
              <w:pStyle w:val="Compact"/>
              <w:jc w:val="center"/>
            </w:pPr>
            <w:r>
              <w:t xml:space="preserve">hotel</w:t>
            </w:r>
          </w:p>
        </w:tc>
        <w:tc>
          <w:tcPr/>
          <w:p>
            <w:pPr>
              <w:pStyle w:val="Compact"/>
              <w:jc w:val="center"/>
            </w:pPr>
            <w:r>
              <w:t xml:space="preserve">triple cognate</w:t>
            </w:r>
          </w:p>
        </w:tc>
      </w:tr>
      <w:tr>
        <w:tc>
          <w:tcPr/>
          <w:p>
            <w:pPr>
              <w:pStyle w:val="Compact"/>
              <w:jc w:val="center"/>
            </w:pPr>
            <w:r>
              <w:t xml:space="preserve">mango</w:t>
            </w:r>
          </w:p>
        </w:tc>
        <w:tc>
          <w:tcPr/>
          <w:p>
            <w:pPr>
              <w:pStyle w:val="Compact"/>
              <w:jc w:val="center"/>
            </w:pPr>
            <w:r>
              <w:t xml:space="preserve">Mango</w:t>
            </w:r>
          </w:p>
        </w:tc>
        <w:tc>
          <w:tcPr/>
          <w:p>
            <w:pPr>
              <w:pStyle w:val="Compact"/>
              <w:jc w:val="center"/>
            </w:pPr>
            <w:r>
              <w:t xml:space="preserve">mango</w:t>
            </w:r>
          </w:p>
        </w:tc>
        <w:tc>
          <w:tcPr/>
          <w:p>
            <w:pPr>
              <w:pStyle w:val="Compact"/>
              <w:jc w:val="center"/>
            </w:pPr>
            <w:r>
              <w:t xml:space="preserve">triple cognate</w:t>
            </w:r>
          </w:p>
        </w:tc>
      </w:tr>
      <w:tr>
        <w:tc>
          <w:tcPr/>
          <w:p>
            <w:pPr>
              <w:pStyle w:val="Compact"/>
              <w:jc w:val="center"/>
            </w:pPr>
            <w:r>
              <w:t xml:space="preserve">plural</w:t>
            </w:r>
          </w:p>
        </w:tc>
        <w:tc>
          <w:tcPr/>
          <w:p>
            <w:pPr>
              <w:pStyle w:val="Compact"/>
              <w:jc w:val="center"/>
            </w:pPr>
            <w:r>
              <w:t xml:space="preserve">Plural</w:t>
            </w:r>
          </w:p>
        </w:tc>
        <w:tc>
          <w:tcPr/>
          <w:p>
            <w:pPr>
              <w:pStyle w:val="Compact"/>
              <w:jc w:val="center"/>
            </w:pPr>
            <w:r>
              <w:t xml:space="preserve">plural</w:t>
            </w:r>
          </w:p>
        </w:tc>
        <w:tc>
          <w:tcPr/>
          <w:p>
            <w:pPr>
              <w:pStyle w:val="Compact"/>
              <w:jc w:val="center"/>
            </w:pPr>
            <w:r>
              <w:t xml:space="preserve">triple cognate</w:t>
            </w:r>
          </w:p>
        </w:tc>
      </w:tr>
      <w:tr>
        <w:tc>
          <w:tcPr/>
          <w:p>
            <w:pPr>
              <w:pStyle w:val="Compact"/>
              <w:jc w:val="center"/>
            </w:pPr>
            <w:r>
              <w:t xml:space="preserve">retina</w:t>
            </w:r>
          </w:p>
        </w:tc>
        <w:tc>
          <w:tcPr/>
          <w:p>
            <w:pPr>
              <w:pStyle w:val="Compact"/>
              <w:jc w:val="center"/>
            </w:pPr>
            <w:r>
              <w:t xml:space="preserve">Retina</w:t>
            </w:r>
          </w:p>
        </w:tc>
        <w:tc>
          <w:tcPr/>
          <w:p>
            <w:pPr>
              <w:pStyle w:val="Compact"/>
              <w:jc w:val="center"/>
            </w:pPr>
            <w:r>
              <w:t xml:space="preserve">retina</w:t>
            </w:r>
          </w:p>
        </w:tc>
        <w:tc>
          <w:tcPr/>
          <w:p>
            <w:pPr>
              <w:pStyle w:val="Compact"/>
              <w:jc w:val="center"/>
            </w:pPr>
            <w:r>
              <w:t xml:space="preserve">triple cognate</w:t>
            </w:r>
          </w:p>
        </w:tc>
      </w:tr>
      <w:tr>
        <w:tc>
          <w:tcPr/>
          <w:p>
            <w:pPr>
              <w:pStyle w:val="Compact"/>
              <w:jc w:val="center"/>
            </w:pPr>
            <w:r>
              <w:t xml:space="preserve">vigor</w:t>
            </w:r>
          </w:p>
        </w:tc>
        <w:tc>
          <w:tcPr/>
          <w:p>
            <w:pPr>
              <w:pStyle w:val="Compact"/>
              <w:jc w:val="center"/>
            </w:pPr>
            <w:r>
              <w:t xml:space="preserve">Kraft</w:t>
            </w:r>
          </w:p>
        </w:tc>
        <w:tc>
          <w:tcPr/>
          <w:p>
            <w:pPr>
              <w:pStyle w:val="Compact"/>
              <w:jc w:val="center"/>
            </w:pPr>
            <w:r>
              <w:t xml:space="preserve">vigor</w:t>
            </w:r>
          </w:p>
        </w:tc>
        <w:tc>
          <w:tcPr/>
          <w:p>
            <w:pPr>
              <w:pStyle w:val="Compact"/>
              <w:jc w:val="center"/>
            </w:pPr>
            <w:r>
              <w:t xml:space="preserve">double cognate</w:t>
            </w:r>
          </w:p>
        </w:tc>
      </w:tr>
      <w:tr>
        <w:tc>
          <w:tcPr/>
          <w:p>
            <w:pPr>
              <w:pStyle w:val="Compact"/>
              <w:jc w:val="center"/>
            </w:pPr>
            <w:r>
              <w:t xml:space="preserve">enigma</w:t>
            </w:r>
          </w:p>
        </w:tc>
        <w:tc>
          <w:tcPr/>
          <w:p>
            <w:pPr>
              <w:pStyle w:val="Compact"/>
              <w:jc w:val="center"/>
            </w:pPr>
            <w:r>
              <w:t xml:space="preserve">Rätsel</w:t>
            </w:r>
          </w:p>
        </w:tc>
        <w:tc>
          <w:tcPr/>
          <w:p>
            <w:pPr>
              <w:pStyle w:val="Compact"/>
              <w:jc w:val="center"/>
            </w:pPr>
            <w:r>
              <w:t xml:space="preserve">enigma</w:t>
            </w:r>
          </w:p>
        </w:tc>
        <w:tc>
          <w:tcPr/>
          <w:p>
            <w:pPr>
              <w:pStyle w:val="Compact"/>
              <w:jc w:val="center"/>
            </w:pPr>
            <w:r>
              <w:t xml:space="preserve">double cognate</w:t>
            </w:r>
          </w:p>
        </w:tc>
      </w:tr>
      <w:tr>
        <w:tc>
          <w:tcPr/>
          <w:p>
            <w:pPr>
              <w:pStyle w:val="Compact"/>
              <w:jc w:val="center"/>
            </w:pPr>
            <w:r>
              <w:t xml:space="preserve">piano</w:t>
            </w:r>
          </w:p>
        </w:tc>
        <w:tc>
          <w:tcPr/>
          <w:p>
            <w:pPr>
              <w:pStyle w:val="Compact"/>
              <w:jc w:val="center"/>
            </w:pPr>
            <w:r>
              <w:t xml:space="preserve">Klavier</w:t>
            </w:r>
          </w:p>
        </w:tc>
        <w:tc>
          <w:tcPr/>
          <w:p>
            <w:pPr>
              <w:pStyle w:val="Compact"/>
              <w:jc w:val="center"/>
            </w:pPr>
            <w:r>
              <w:t xml:space="preserve">piano</w:t>
            </w:r>
          </w:p>
        </w:tc>
        <w:tc>
          <w:tcPr/>
          <w:p>
            <w:pPr>
              <w:pStyle w:val="Compact"/>
              <w:jc w:val="center"/>
            </w:pPr>
            <w:r>
              <w:t xml:space="preserve">double cognate</w:t>
            </w:r>
          </w:p>
        </w:tc>
      </w:tr>
      <w:tr>
        <w:tc>
          <w:tcPr/>
          <w:p>
            <w:pPr>
              <w:pStyle w:val="Compact"/>
              <w:jc w:val="center"/>
            </w:pPr>
            <w:r>
              <w:t xml:space="preserve">ardor</w:t>
            </w:r>
          </w:p>
        </w:tc>
        <w:tc>
          <w:tcPr/>
          <w:p>
            <w:pPr>
              <w:pStyle w:val="Compact"/>
              <w:jc w:val="center"/>
            </w:pPr>
            <w:r>
              <w:t xml:space="preserve">Inbrunst</w:t>
            </w:r>
          </w:p>
        </w:tc>
        <w:tc>
          <w:tcPr/>
          <w:p>
            <w:pPr>
              <w:pStyle w:val="Compact"/>
              <w:jc w:val="center"/>
            </w:pPr>
            <w:r>
              <w:t xml:space="preserve">ardor</w:t>
            </w:r>
          </w:p>
        </w:tc>
        <w:tc>
          <w:tcPr/>
          <w:p>
            <w:pPr>
              <w:pStyle w:val="Compact"/>
              <w:jc w:val="center"/>
            </w:pPr>
            <w:r>
              <w:t xml:space="preserve">double cognate</w:t>
            </w:r>
          </w:p>
        </w:tc>
      </w:tr>
      <w:tr>
        <w:tc>
          <w:tcPr/>
          <w:p>
            <w:pPr>
              <w:pStyle w:val="Compact"/>
              <w:jc w:val="center"/>
            </w:pPr>
            <w:r>
              <w:t xml:space="preserve">clamor</w:t>
            </w:r>
          </w:p>
        </w:tc>
        <w:tc>
          <w:tcPr/>
          <w:p>
            <w:pPr>
              <w:pStyle w:val="Compact"/>
              <w:jc w:val="center"/>
            </w:pPr>
            <w:r>
              <w:t xml:space="preserve">Geschrei</w:t>
            </w:r>
          </w:p>
        </w:tc>
        <w:tc>
          <w:tcPr/>
          <w:p>
            <w:pPr>
              <w:pStyle w:val="Compact"/>
              <w:jc w:val="center"/>
            </w:pPr>
            <w:r>
              <w:t xml:space="preserve">clamor</w:t>
            </w:r>
          </w:p>
        </w:tc>
        <w:tc>
          <w:tcPr/>
          <w:p>
            <w:pPr>
              <w:pStyle w:val="Compact"/>
              <w:jc w:val="center"/>
            </w:pPr>
            <w:r>
              <w:t xml:space="preserve">double cognate</w:t>
            </w:r>
          </w:p>
        </w:tc>
      </w:tr>
      <w:tr>
        <w:tc>
          <w:tcPr/>
          <w:p>
            <w:pPr>
              <w:pStyle w:val="Compact"/>
              <w:jc w:val="center"/>
            </w:pPr>
            <w:r>
              <w:t xml:space="preserve">fiscal</w:t>
            </w:r>
          </w:p>
        </w:tc>
        <w:tc>
          <w:tcPr/>
          <w:p>
            <w:pPr>
              <w:pStyle w:val="Compact"/>
              <w:jc w:val="center"/>
            </w:pPr>
            <w:r>
              <w:t xml:space="preserve">steuerlich</w:t>
            </w:r>
          </w:p>
        </w:tc>
        <w:tc>
          <w:tcPr/>
          <w:p>
            <w:pPr>
              <w:pStyle w:val="Compact"/>
              <w:jc w:val="center"/>
            </w:pPr>
            <w:r>
              <w:t xml:space="preserve">fiscal</w:t>
            </w:r>
          </w:p>
        </w:tc>
        <w:tc>
          <w:tcPr/>
          <w:p>
            <w:pPr>
              <w:pStyle w:val="Compact"/>
              <w:jc w:val="center"/>
            </w:pPr>
            <w:r>
              <w:t xml:space="preserve">double cognate</w:t>
            </w:r>
          </w:p>
        </w:tc>
      </w:tr>
      <w:tr>
        <w:tc>
          <w:tcPr/>
          <w:p>
            <w:pPr>
              <w:pStyle w:val="Compact"/>
              <w:jc w:val="center"/>
            </w:pPr>
            <w:r>
              <w:t xml:space="preserve">civil</w:t>
            </w:r>
          </w:p>
        </w:tc>
        <w:tc>
          <w:tcPr/>
          <w:p>
            <w:pPr>
              <w:pStyle w:val="Compact"/>
              <w:jc w:val="center"/>
            </w:pPr>
            <w:r>
              <w:t xml:space="preserve">bürgerlich</w:t>
            </w:r>
          </w:p>
        </w:tc>
        <w:tc>
          <w:tcPr/>
          <w:p>
            <w:pPr>
              <w:pStyle w:val="Compact"/>
              <w:jc w:val="center"/>
            </w:pPr>
            <w:r>
              <w:t xml:space="preserve">civil</w:t>
            </w:r>
          </w:p>
        </w:tc>
        <w:tc>
          <w:tcPr/>
          <w:p>
            <w:pPr>
              <w:pStyle w:val="Compact"/>
              <w:jc w:val="center"/>
            </w:pPr>
            <w:r>
              <w:t xml:space="preserve">double cognate</w:t>
            </w:r>
          </w:p>
        </w:tc>
      </w:tr>
      <w:tr>
        <w:tc>
          <w:tcPr/>
          <w:p>
            <w:pPr>
              <w:pStyle w:val="Compact"/>
              <w:jc w:val="center"/>
            </w:pPr>
            <w:r>
              <w:t xml:space="preserve">animal</w:t>
            </w:r>
          </w:p>
        </w:tc>
        <w:tc>
          <w:tcPr/>
          <w:p>
            <w:pPr>
              <w:pStyle w:val="Compact"/>
              <w:jc w:val="center"/>
            </w:pPr>
            <w:r>
              <w:t xml:space="preserve">Tier</w:t>
            </w:r>
          </w:p>
        </w:tc>
        <w:tc>
          <w:tcPr/>
          <w:p>
            <w:pPr>
              <w:pStyle w:val="Compact"/>
              <w:jc w:val="center"/>
            </w:pPr>
            <w:r>
              <w:t xml:space="preserve">animal</w:t>
            </w:r>
          </w:p>
        </w:tc>
        <w:tc>
          <w:tcPr/>
          <w:p>
            <w:pPr>
              <w:pStyle w:val="Compact"/>
              <w:jc w:val="center"/>
            </w:pPr>
            <w:r>
              <w:t xml:space="preserve">double cognate</w:t>
            </w:r>
          </w:p>
        </w:tc>
      </w:tr>
      <w:tr>
        <w:tc>
          <w:tcPr/>
          <w:p>
            <w:pPr>
              <w:pStyle w:val="Compact"/>
              <w:jc w:val="center"/>
            </w:pPr>
            <w:r>
              <w:t xml:space="preserve">collar</w:t>
            </w:r>
          </w:p>
        </w:tc>
        <w:tc>
          <w:tcPr/>
          <w:p>
            <w:pPr>
              <w:pStyle w:val="Compact"/>
              <w:jc w:val="center"/>
            </w:pPr>
            <w:r>
              <w:t xml:space="preserve">Hundehalsband</w:t>
            </w:r>
          </w:p>
        </w:tc>
        <w:tc>
          <w:tcPr/>
          <w:p>
            <w:pPr>
              <w:pStyle w:val="Compact"/>
              <w:jc w:val="center"/>
            </w:pPr>
            <w:r>
              <w:t xml:space="preserve">collar</w:t>
            </w:r>
          </w:p>
        </w:tc>
        <w:tc>
          <w:tcPr/>
          <w:p>
            <w:pPr>
              <w:pStyle w:val="Compact"/>
              <w:jc w:val="center"/>
            </w:pPr>
            <w:r>
              <w:t xml:space="preserve">double cognate</w:t>
            </w:r>
          </w:p>
        </w:tc>
      </w:tr>
      <w:tr>
        <w:tc>
          <w:tcPr/>
          <w:p>
            <w:pPr>
              <w:pStyle w:val="Compact"/>
              <w:jc w:val="center"/>
            </w:pPr>
            <w:r>
              <w:t xml:space="preserve">actor</w:t>
            </w:r>
          </w:p>
        </w:tc>
        <w:tc>
          <w:tcPr/>
          <w:p>
            <w:pPr>
              <w:pStyle w:val="Compact"/>
              <w:jc w:val="center"/>
            </w:pPr>
            <w:r>
              <w:t xml:space="preserve">Schauspieler</w:t>
            </w:r>
          </w:p>
        </w:tc>
        <w:tc>
          <w:tcPr/>
          <w:p>
            <w:pPr>
              <w:pStyle w:val="Compact"/>
              <w:jc w:val="center"/>
            </w:pPr>
            <w:r>
              <w:t xml:space="preserve">actor</w:t>
            </w:r>
          </w:p>
        </w:tc>
        <w:tc>
          <w:tcPr/>
          <w:p>
            <w:pPr>
              <w:pStyle w:val="Compact"/>
              <w:jc w:val="center"/>
            </w:pPr>
            <w:r>
              <w:t xml:space="preserve">double cognate</w:t>
            </w:r>
          </w:p>
        </w:tc>
      </w:tr>
      <w:tr>
        <w:tc>
          <w:tcPr/>
          <w:p>
            <w:pPr>
              <w:pStyle w:val="Compact"/>
              <w:jc w:val="center"/>
            </w:pPr>
            <w:r>
              <w:t xml:space="preserve">aurora</w:t>
            </w:r>
          </w:p>
        </w:tc>
        <w:tc>
          <w:tcPr/>
          <w:p>
            <w:pPr>
              <w:pStyle w:val="Compact"/>
              <w:jc w:val="center"/>
            </w:pPr>
            <w:r>
              <w:t xml:space="preserve">Polarlicht</w:t>
            </w:r>
          </w:p>
        </w:tc>
        <w:tc>
          <w:tcPr/>
          <w:p>
            <w:pPr>
              <w:pStyle w:val="Compact"/>
              <w:jc w:val="center"/>
            </w:pPr>
            <w:r>
              <w:t xml:space="preserve">aurora</w:t>
            </w:r>
          </w:p>
        </w:tc>
        <w:tc>
          <w:tcPr/>
          <w:p>
            <w:pPr>
              <w:pStyle w:val="Compact"/>
              <w:jc w:val="center"/>
            </w:pPr>
            <w:r>
              <w:t xml:space="preserve">double cognate</w:t>
            </w:r>
          </w:p>
        </w:tc>
      </w:tr>
      <w:tr>
        <w:tc>
          <w:tcPr/>
          <w:p>
            <w:pPr>
              <w:pStyle w:val="Compact"/>
              <w:jc w:val="center"/>
            </w:pPr>
            <w:r>
              <w:t xml:space="preserve">viable</w:t>
            </w:r>
          </w:p>
        </w:tc>
        <w:tc>
          <w:tcPr/>
          <w:p>
            <w:pPr>
              <w:pStyle w:val="Compact"/>
              <w:jc w:val="center"/>
            </w:pPr>
            <w:r>
              <w:t xml:space="preserve">lebensfähig</w:t>
            </w:r>
          </w:p>
        </w:tc>
        <w:tc>
          <w:tcPr/>
          <w:p>
            <w:pPr>
              <w:pStyle w:val="Compact"/>
              <w:jc w:val="center"/>
            </w:pPr>
            <w:r>
              <w:t xml:space="preserve">viable</w:t>
            </w:r>
          </w:p>
        </w:tc>
        <w:tc>
          <w:tcPr/>
          <w:p>
            <w:pPr>
              <w:pStyle w:val="Compact"/>
              <w:jc w:val="center"/>
            </w:pPr>
            <w:r>
              <w:t xml:space="preserve">double cognate</w:t>
            </w:r>
          </w:p>
        </w:tc>
      </w:tr>
      <w:tr>
        <w:tc>
          <w:tcPr/>
          <w:p>
            <w:pPr>
              <w:pStyle w:val="Compact"/>
              <w:jc w:val="center"/>
            </w:pPr>
            <w:r>
              <w:t xml:space="preserve">torso</w:t>
            </w:r>
          </w:p>
        </w:tc>
        <w:tc>
          <w:tcPr/>
          <w:p>
            <w:pPr>
              <w:pStyle w:val="Compact"/>
              <w:jc w:val="center"/>
            </w:pPr>
            <w:r>
              <w:t xml:space="preserve">Oberkörper</w:t>
            </w:r>
          </w:p>
        </w:tc>
        <w:tc>
          <w:tcPr/>
          <w:p>
            <w:pPr>
              <w:pStyle w:val="Compact"/>
              <w:jc w:val="center"/>
            </w:pPr>
            <w:r>
              <w:t xml:space="preserve">torso</w:t>
            </w:r>
          </w:p>
        </w:tc>
        <w:tc>
          <w:tcPr/>
          <w:p>
            <w:pPr>
              <w:pStyle w:val="Compact"/>
              <w:jc w:val="center"/>
            </w:pPr>
            <w:r>
              <w:t xml:space="preserve">double cognate</w:t>
            </w:r>
          </w:p>
        </w:tc>
      </w:tr>
      <w:tr>
        <w:tc>
          <w:tcPr/>
          <w:p>
            <w:pPr>
              <w:pStyle w:val="Compact"/>
              <w:jc w:val="center"/>
            </w:pPr>
            <w:r>
              <w:t xml:space="preserve">halo</w:t>
            </w:r>
          </w:p>
        </w:tc>
        <w:tc>
          <w:tcPr/>
          <w:p>
            <w:pPr>
              <w:pStyle w:val="Compact"/>
              <w:jc w:val="center"/>
            </w:pPr>
            <w:r>
              <w:t xml:space="preserve">Heiligenschein</w:t>
            </w:r>
          </w:p>
        </w:tc>
        <w:tc>
          <w:tcPr/>
          <w:p>
            <w:pPr>
              <w:pStyle w:val="Compact"/>
              <w:jc w:val="center"/>
            </w:pPr>
            <w:r>
              <w:t xml:space="preserve">halo</w:t>
            </w:r>
          </w:p>
        </w:tc>
        <w:tc>
          <w:tcPr/>
          <w:p>
            <w:pPr>
              <w:pStyle w:val="Compact"/>
              <w:jc w:val="center"/>
            </w:pPr>
            <w:r>
              <w:t xml:space="preserve">double cognate</w:t>
            </w:r>
          </w:p>
        </w:tc>
      </w:tr>
      <w:tr>
        <w:tc>
          <w:tcPr/>
          <w:p>
            <w:pPr>
              <w:pStyle w:val="Compact"/>
              <w:jc w:val="center"/>
            </w:pPr>
            <w:r>
              <w:t xml:space="preserve">casual</w:t>
            </w:r>
          </w:p>
        </w:tc>
        <w:tc>
          <w:tcPr/>
          <w:p>
            <w:pPr>
              <w:pStyle w:val="Compact"/>
              <w:jc w:val="center"/>
            </w:pPr>
            <w:r>
              <w:t xml:space="preserve">zufällig</w:t>
            </w:r>
          </w:p>
        </w:tc>
        <w:tc>
          <w:tcPr/>
          <w:p>
            <w:pPr>
              <w:pStyle w:val="Compact"/>
              <w:jc w:val="center"/>
            </w:pPr>
            <w:r>
              <w:t xml:space="preserve">casual</w:t>
            </w:r>
          </w:p>
        </w:tc>
        <w:tc>
          <w:tcPr/>
          <w:p>
            <w:pPr>
              <w:pStyle w:val="Compact"/>
              <w:jc w:val="center"/>
            </w:pPr>
            <w:r>
              <w:t xml:space="preserve">double cognate</w:t>
            </w:r>
          </w:p>
        </w:tc>
      </w:tr>
      <w:tr>
        <w:tc>
          <w:tcPr/>
          <w:p>
            <w:pPr>
              <w:pStyle w:val="Compact"/>
              <w:jc w:val="center"/>
            </w:pPr>
            <w:r>
              <w:t xml:space="preserve">pelvis</w:t>
            </w:r>
          </w:p>
        </w:tc>
        <w:tc>
          <w:tcPr/>
          <w:p>
            <w:pPr>
              <w:pStyle w:val="Compact"/>
              <w:jc w:val="center"/>
            </w:pPr>
            <w:r>
              <w:t xml:space="preserve">Becken</w:t>
            </w:r>
          </w:p>
        </w:tc>
        <w:tc>
          <w:tcPr/>
          <w:p>
            <w:pPr>
              <w:pStyle w:val="Compact"/>
              <w:jc w:val="center"/>
            </w:pPr>
            <w:r>
              <w:t xml:space="preserve">pelvis</w:t>
            </w:r>
          </w:p>
        </w:tc>
        <w:tc>
          <w:tcPr/>
          <w:p>
            <w:pPr>
              <w:pStyle w:val="Compact"/>
              <w:jc w:val="center"/>
            </w:pPr>
            <w:r>
              <w:t xml:space="preserve">double cognate</w:t>
            </w:r>
          </w:p>
        </w:tc>
      </w:tr>
      <w:tr>
        <w:tc>
          <w:tcPr/>
          <w:p>
            <w:pPr>
              <w:pStyle w:val="Compact"/>
              <w:jc w:val="center"/>
            </w:pPr>
            <w:r>
              <w:t xml:space="preserve">pasta</w:t>
            </w:r>
          </w:p>
        </w:tc>
        <w:tc>
          <w:tcPr/>
          <w:p>
            <w:pPr>
              <w:pStyle w:val="Compact"/>
              <w:jc w:val="center"/>
            </w:pPr>
            <w:r>
              <w:t xml:space="preserve">Nudeln</w:t>
            </w:r>
          </w:p>
        </w:tc>
        <w:tc>
          <w:tcPr/>
          <w:p>
            <w:pPr>
              <w:pStyle w:val="Compact"/>
              <w:jc w:val="center"/>
            </w:pPr>
            <w:r>
              <w:t xml:space="preserve">pasta</w:t>
            </w:r>
          </w:p>
        </w:tc>
        <w:tc>
          <w:tcPr/>
          <w:p>
            <w:pPr>
              <w:pStyle w:val="Compact"/>
              <w:jc w:val="center"/>
            </w:pPr>
            <w:r>
              <w:t xml:space="preserve">double cognate</w:t>
            </w:r>
          </w:p>
        </w:tc>
      </w:tr>
      <w:tr>
        <w:tc>
          <w:tcPr/>
          <w:p>
            <w:pPr>
              <w:pStyle w:val="Compact"/>
              <w:jc w:val="center"/>
            </w:pPr>
            <w:r>
              <w:t xml:space="preserve">rumor</w:t>
            </w:r>
          </w:p>
        </w:tc>
        <w:tc>
          <w:tcPr/>
          <w:p>
            <w:pPr>
              <w:pStyle w:val="Compact"/>
              <w:jc w:val="center"/>
            </w:pPr>
            <w:r>
              <w:t xml:space="preserve">Gerücht</w:t>
            </w:r>
          </w:p>
        </w:tc>
        <w:tc>
          <w:tcPr/>
          <w:p>
            <w:pPr>
              <w:pStyle w:val="Compact"/>
              <w:jc w:val="center"/>
            </w:pPr>
            <w:r>
              <w:t xml:space="preserve">rumor</w:t>
            </w:r>
          </w:p>
        </w:tc>
        <w:tc>
          <w:tcPr/>
          <w:p>
            <w:pPr>
              <w:pStyle w:val="Compact"/>
              <w:jc w:val="center"/>
            </w:pPr>
            <w:r>
              <w:t xml:space="preserve">double cognate</w:t>
            </w:r>
          </w:p>
        </w:tc>
      </w:tr>
      <w:tr>
        <w:tc>
          <w:tcPr/>
          <w:p>
            <w:pPr>
              <w:pStyle w:val="Compact"/>
              <w:jc w:val="center"/>
            </w:pPr>
            <w:r>
              <w:t xml:space="preserve">honor</w:t>
            </w:r>
          </w:p>
        </w:tc>
        <w:tc>
          <w:tcPr/>
          <w:p>
            <w:pPr>
              <w:pStyle w:val="Compact"/>
              <w:jc w:val="center"/>
            </w:pPr>
            <w:r>
              <w:t xml:space="preserve">Ehre</w:t>
            </w:r>
          </w:p>
        </w:tc>
        <w:tc>
          <w:tcPr/>
          <w:p>
            <w:pPr>
              <w:pStyle w:val="Compact"/>
              <w:jc w:val="center"/>
            </w:pPr>
            <w:r>
              <w:t xml:space="preserve">honor</w:t>
            </w:r>
          </w:p>
        </w:tc>
        <w:tc>
          <w:tcPr/>
          <w:p>
            <w:pPr>
              <w:pStyle w:val="Compact"/>
              <w:jc w:val="center"/>
            </w:pPr>
            <w:r>
              <w:t xml:space="preserve">double cognate</w:t>
            </w:r>
          </w:p>
        </w:tc>
      </w:tr>
      <w:tr>
        <w:tc>
          <w:tcPr/>
          <w:p>
            <w:pPr>
              <w:pStyle w:val="Compact"/>
              <w:jc w:val="center"/>
            </w:pPr>
            <w:r>
              <w:t xml:space="preserve">editor</w:t>
            </w:r>
          </w:p>
        </w:tc>
        <w:tc>
          <w:tcPr/>
          <w:p>
            <w:pPr>
              <w:pStyle w:val="Compact"/>
              <w:jc w:val="center"/>
            </w:pPr>
            <w:r>
              <w:t xml:space="preserve">Herausgeber</w:t>
            </w:r>
          </w:p>
        </w:tc>
        <w:tc>
          <w:tcPr/>
          <w:p>
            <w:pPr>
              <w:pStyle w:val="Compact"/>
              <w:jc w:val="center"/>
            </w:pPr>
            <w:r>
              <w:t xml:space="preserve">editor</w:t>
            </w:r>
          </w:p>
        </w:tc>
        <w:tc>
          <w:tcPr/>
          <w:p>
            <w:pPr>
              <w:pStyle w:val="Compact"/>
              <w:jc w:val="center"/>
            </w:pPr>
            <w:r>
              <w:t xml:space="preserve">double cognate</w:t>
            </w:r>
          </w:p>
        </w:tc>
      </w:tr>
      <w:tr>
        <w:tc>
          <w:tcPr/>
          <w:p>
            <w:pPr>
              <w:pStyle w:val="Compact"/>
              <w:jc w:val="center"/>
            </w:pPr>
            <w:r>
              <w:t xml:space="preserve">total</w:t>
            </w:r>
          </w:p>
        </w:tc>
        <w:tc>
          <w:tcPr/>
          <w:p>
            <w:pPr>
              <w:pStyle w:val="Compact"/>
              <w:jc w:val="center"/>
            </w:pPr>
            <w:r>
              <w:t xml:space="preserve">gesamt</w:t>
            </w:r>
          </w:p>
        </w:tc>
        <w:tc>
          <w:tcPr/>
          <w:p>
            <w:pPr>
              <w:pStyle w:val="Compact"/>
              <w:jc w:val="center"/>
            </w:pPr>
            <w:r>
              <w:t xml:space="preserve">total</w:t>
            </w:r>
          </w:p>
        </w:tc>
        <w:tc>
          <w:tcPr/>
          <w:p>
            <w:pPr>
              <w:pStyle w:val="Compact"/>
              <w:jc w:val="center"/>
            </w:pPr>
            <w:r>
              <w:t xml:space="preserve">double cognate</w:t>
            </w:r>
          </w:p>
        </w:tc>
      </w:tr>
      <w:tr>
        <w:tc>
          <w:tcPr/>
          <w:p>
            <w:pPr>
              <w:pStyle w:val="Compact"/>
              <w:jc w:val="center"/>
            </w:pPr>
            <w:r>
              <w:t xml:space="preserve">mortal</w:t>
            </w:r>
          </w:p>
        </w:tc>
        <w:tc>
          <w:tcPr/>
          <w:p>
            <w:pPr>
              <w:pStyle w:val="Compact"/>
              <w:jc w:val="center"/>
            </w:pPr>
            <w:r>
              <w:t xml:space="preserve">sterblich</w:t>
            </w:r>
          </w:p>
        </w:tc>
        <w:tc>
          <w:tcPr/>
          <w:p>
            <w:pPr>
              <w:pStyle w:val="Compact"/>
              <w:jc w:val="center"/>
            </w:pPr>
            <w:r>
              <w:t xml:space="preserve">mortal</w:t>
            </w:r>
          </w:p>
        </w:tc>
        <w:tc>
          <w:tcPr/>
          <w:p>
            <w:pPr>
              <w:pStyle w:val="Compact"/>
              <w:jc w:val="center"/>
            </w:pPr>
            <w:r>
              <w:t xml:space="preserve">double cognate</w:t>
            </w:r>
          </w:p>
        </w:tc>
      </w:tr>
      <w:tr>
        <w:tc>
          <w:tcPr/>
          <w:p>
            <w:pPr>
              <w:pStyle w:val="Compact"/>
              <w:jc w:val="center"/>
            </w:pPr>
            <w:r>
              <w:t xml:space="preserve">color</w:t>
            </w:r>
          </w:p>
        </w:tc>
        <w:tc>
          <w:tcPr/>
          <w:p>
            <w:pPr>
              <w:pStyle w:val="Compact"/>
              <w:jc w:val="center"/>
            </w:pPr>
            <w:r>
              <w:t xml:space="preserve">Farbe</w:t>
            </w:r>
          </w:p>
        </w:tc>
        <w:tc>
          <w:tcPr/>
          <w:p>
            <w:pPr>
              <w:pStyle w:val="Compact"/>
              <w:jc w:val="center"/>
            </w:pPr>
            <w:r>
              <w:t xml:space="preserve">color</w:t>
            </w:r>
          </w:p>
        </w:tc>
        <w:tc>
          <w:tcPr/>
          <w:p>
            <w:pPr>
              <w:pStyle w:val="Compact"/>
              <w:jc w:val="center"/>
            </w:pPr>
            <w:r>
              <w:t xml:space="preserve">double cognate</w:t>
            </w:r>
          </w:p>
        </w:tc>
      </w:tr>
      <w:tr>
        <w:tc>
          <w:tcPr/>
          <w:p>
            <w:pPr>
              <w:pStyle w:val="Compact"/>
              <w:jc w:val="center"/>
            </w:pPr>
            <w:r>
              <w:t xml:space="preserve">pelvis</w:t>
            </w:r>
          </w:p>
        </w:tc>
        <w:tc>
          <w:tcPr/>
          <w:p>
            <w:pPr>
              <w:pStyle w:val="Compact"/>
              <w:jc w:val="center"/>
            </w:pPr>
            <w:r>
              <w:t xml:space="preserve">Becken</w:t>
            </w:r>
          </w:p>
        </w:tc>
        <w:tc>
          <w:tcPr/>
          <w:p>
            <w:pPr>
              <w:pStyle w:val="Compact"/>
              <w:jc w:val="center"/>
            </w:pPr>
            <w:r>
              <w:t xml:space="preserve">pelvis</w:t>
            </w:r>
          </w:p>
        </w:tc>
        <w:tc>
          <w:tcPr/>
          <w:p>
            <w:pPr>
              <w:pStyle w:val="Compact"/>
              <w:jc w:val="center"/>
            </w:pPr>
            <w:r>
              <w:t xml:space="preserve">double cognate</w:t>
            </w:r>
          </w:p>
        </w:tc>
      </w:tr>
      <w:tr>
        <w:tc>
          <w:tcPr/>
          <w:p>
            <w:pPr>
              <w:pStyle w:val="Compact"/>
              <w:jc w:val="center"/>
            </w:pPr>
            <w:r>
              <w:t xml:space="preserve">dye</w:t>
            </w:r>
          </w:p>
        </w:tc>
        <w:tc>
          <w:tcPr/>
          <w:p>
            <w:pPr>
              <w:pStyle w:val="Compact"/>
              <w:jc w:val="center"/>
            </w:pPr>
            <w:r>
              <w:t xml:space="preserve">färben</w:t>
            </w:r>
          </w:p>
        </w:tc>
        <w:tc>
          <w:tcPr/>
          <w:p>
            <w:pPr>
              <w:pStyle w:val="Compact"/>
              <w:jc w:val="center"/>
            </w:pPr>
            <w:r>
              <w:t xml:space="preserve">teñir</w:t>
            </w:r>
          </w:p>
        </w:tc>
        <w:tc>
          <w:tcPr/>
          <w:p>
            <w:pPr>
              <w:pStyle w:val="Compact"/>
              <w:jc w:val="center"/>
            </w:pPr>
            <w:r>
              <w:t xml:space="preserve">noncognate</w:t>
            </w:r>
          </w:p>
        </w:tc>
      </w:tr>
      <w:tr>
        <w:tc>
          <w:tcPr/>
          <w:p>
            <w:pPr>
              <w:pStyle w:val="Compact"/>
              <w:jc w:val="center"/>
            </w:pPr>
            <w:r>
              <w:t xml:space="preserve">mountain</w:t>
            </w:r>
          </w:p>
        </w:tc>
        <w:tc>
          <w:tcPr/>
          <w:p>
            <w:pPr>
              <w:pStyle w:val="Compact"/>
              <w:jc w:val="center"/>
            </w:pPr>
            <w:r>
              <w:t xml:space="preserve">Gebirge</w:t>
            </w:r>
          </w:p>
        </w:tc>
        <w:tc>
          <w:tcPr/>
          <w:p>
            <w:pPr>
              <w:pStyle w:val="Compact"/>
              <w:jc w:val="center"/>
            </w:pPr>
            <w:r>
              <w:t xml:space="preserve">sierra</w:t>
            </w:r>
          </w:p>
        </w:tc>
        <w:tc>
          <w:tcPr/>
          <w:p>
            <w:pPr>
              <w:pStyle w:val="Compact"/>
              <w:jc w:val="center"/>
            </w:pPr>
            <w:r>
              <w:t xml:space="preserve">noncognate</w:t>
            </w:r>
          </w:p>
        </w:tc>
      </w:tr>
      <w:tr>
        <w:tc>
          <w:tcPr/>
          <w:p>
            <w:pPr>
              <w:pStyle w:val="Compact"/>
              <w:jc w:val="center"/>
            </w:pPr>
            <w:r>
              <w:t xml:space="preserve">ready</w:t>
            </w:r>
          </w:p>
        </w:tc>
        <w:tc>
          <w:tcPr/>
          <w:p>
            <w:pPr>
              <w:pStyle w:val="Compact"/>
              <w:jc w:val="center"/>
            </w:pPr>
            <w:r>
              <w:t xml:space="preserve">fertig</w:t>
            </w:r>
          </w:p>
        </w:tc>
        <w:tc>
          <w:tcPr/>
          <w:p>
            <w:pPr>
              <w:pStyle w:val="Compact"/>
              <w:jc w:val="center"/>
            </w:pPr>
            <w:r>
              <w:t xml:space="preserve">listo</w:t>
            </w:r>
          </w:p>
        </w:tc>
        <w:tc>
          <w:tcPr/>
          <w:p>
            <w:pPr>
              <w:pStyle w:val="Compact"/>
              <w:jc w:val="center"/>
            </w:pPr>
            <w:r>
              <w:t xml:space="preserve">noncognate</w:t>
            </w:r>
          </w:p>
        </w:tc>
      </w:tr>
      <w:tr>
        <w:tc>
          <w:tcPr/>
          <w:p>
            <w:pPr>
              <w:pStyle w:val="Compact"/>
              <w:jc w:val="center"/>
            </w:pPr>
            <w:r>
              <w:t xml:space="preserve">soft</w:t>
            </w:r>
          </w:p>
        </w:tc>
        <w:tc>
          <w:tcPr/>
          <w:p>
            <w:pPr>
              <w:pStyle w:val="Compact"/>
              <w:jc w:val="center"/>
            </w:pPr>
            <w:r>
              <w:t xml:space="preserve">weich</w:t>
            </w:r>
          </w:p>
        </w:tc>
        <w:tc>
          <w:tcPr/>
          <w:p>
            <w:pPr>
              <w:pStyle w:val="Compact"/>
              <w:jc w:val="center"/>
            </w:pPr>
            <w:r>
              <w:t xml:space="preserve">blando</w:t>
            </w:r>
          </w:p>
        </w:tc>
        <w:tc>
          <w:tcPr/>
          <w:p>
            <w:pPr>
              <w:pStyle w:val="Compact"/>
              <w:jc w:val="center"/>
            </w:pPr>
            <w:r>
              <w:t xml:space="preserve">noncognate</w:t>
            </w:r>
          </w:p>
        </w:tc>
      </w:tr>
      <w:tr>
        <w:tc>
          <w:tcPr/>
          <w:p>
            <w:pPr>
              <w:pStyle w:val="Compact"/>
              <w:jc w:val="center"/>
            </w:pPr>
            <w:r>
              <w:t xml:space="preserve">tip</w:t>
            </w:r>
          </w:p>
        </w:tc>
        <w:tc>
          <w:tcPr/>
          <w:p>
            <w:pPr>
              <w:pStyle w:val="Compact"/>
              <w:jc w:val="center"/>
            </w:pPr>
            <w:r>
              <w:t xml:space="preserve">Spitze</w:t>
            </w:r>
          </w:p>
        </w:tc>
        <w:tc>
          <w:tcPr/>
          <w:p>
            <w:pPr>
              <w:pStyle w:val="Compact"/>
              <w:jc w:val="center"/>
            </w:pPr>
            <w:r>
              <w:t xml:space="preserve">punta</w:t>
            </w:r>
          </w:p>
        </w:tc>
        <w:tc>
          <w:tcPr/>
          <w:p>
            <w:pPr>
              <w:pStyle w:val="Compact"/>
              <w:jc w:val="center"/>
            </w:pPr>
            <w:r>
              <w:t xml:space="preserve">noncognate</w:t>
            </w:r>
          </w:p>
        </w:tc>
      </w:tr>
      <w:tr>
        <w:tc>
          <w:tcPr/>
          <w:p>
            <w:pPr>
              <w:pStyle w:val="Compact"/>
              <w:jc w:val="center"/>
            </w:pPr>
            <w:r>
              <w:t xml:space="preserve">lid</w:t>
            </w:r>
          </w:p>
        </w:tc>
        <w:tc>
          <w:tcPr/>
          <w:p>
            <w:pPr>
              <w:pStyle w:val="Compact"/>
              <w:jc w:val="center"/>
            </w:pPr>
            <w:r>
              <w:t xml:space="preserve">Deckel</w:t>
            </w:r>
          </w:p>
        </w:tc>
        <w:tc>
          <w:tcPr/>
          <w:p>
            <w:pPr>
              <w:pStyle w:val="Compact"/>
              <w:jc w:val="center"/>
            </w:pPr>
            <w:r>
              <w:t xml:space="preserve">tapón</w:t>
            </w:r>
          </w:p>
        </w:tc>
        <w:tc>
          <w:tcPr/>
          <w:p>
            <w:pPr>
              <w:pStyle w:val="Compact"/>
              <w:jc w:val="center"/>
            </w:pPr>
            <w:r>
              <w:t xml:space="preserve">noncognate</w:t>
            </w:r>
          </w:p>
        </w:tc>
      </w:tr>
      <w:tr>
        <w:tc>
          <w:tcPr/>
          <w:p>
            <w:pPr>
              <w:pStyle w:val="Compact"/>
              <w:jc w:val="center"/>
            </w:pPr>
            <w:r>
              <w:t xml:space="preserve">evil</w:t>
            </w:r>
          </w:p>
        </w:tc>
        <w:tc>
          <w:tcPr/>
          <w:p>
            <w:pPr>
              <w:pStyle w:val="Compact"/>
              <w:jc w:val="center"/>
            </w:pPr>
            <w:r>
              <w:t xml:space="preserve">Böse</w:t>
            </w:r>
          </w:p>
        </w:tc>
        <w:tc>
          <w:tcPr/>
          <w:p>
            <w:pPr>
              <w:pStyle w:val="Compact"/>
              <w:jc w:val="center"/>
            </w:pPr>
            <w:r>
              <w:t xml:space="preserve">maldad</w:t>
            </w:r>
          </w:p>
        </w:tc>
        <w:tc>
          <w:tcPr/>
          <w:p>
            <w:pPr>
              <w:pStyle w:val="Compact"/>
              <w:jc w:val="center"/>
            </w:pPr>
            <w:r>
              <w:t xml:space="preserve">noncognate</w:t>
            </w:r>
          </w:p>
        </w:tc>
      </w:tr>
      <w:tr>
        <w:tc>
          <w:tcPr/>
          <w:p>
            <w:pPr>
              <w:pStyle w:val="Compact"/>
              <w:jc w:val="center"/>
            </w:pPr>
            <w:r>
              <w:t xml:space="preserve">beak</w:t>
            </w:r>
          </w:p>
        </w:tc>
        <w:tc>
          <w:tcPr/>
          <w:p>
            <w:pPr>
              <w:pStyle w:val="Compact"/>
              <w:jc w:val="center"/>
            </w:pPr>
            <w:r>
              <w:t xml:space="preserve">Schnabel</w:t>
            </w:r>
          </w:p>
        </w:tc>
        <w:tc>
          <w:tcPr/>
          <w:p>
            <w:pPr>
              <w:pStyle w:val="Compact"/>
              <w:jc w:val="center"/>
            </w:pPr>
            <w:r>
              <w:t xml:space="preserve">pico</w:t>
            </w:r>
          </w:p>
        </w:tc>
        <w:tc>
          <w:tcPr/>
          <w:p>
            <w:pPr>
              <w:pStyle w:val="Compact"/>
              <w:jc w:val="center"/>
            </w:pPr>
            <w:r>
              <w:t xml:space="preserve">noncognate</w:t>
            </w:r>
          </w:p>
        </w:tc>
      </w:tr>
      <w:tr>
        <w:tc>
          <w:tcPr/>
          <w:p>
            <w:pPr>
              <w:pStyle w:val="Compact"/>
              <w:jc w:val="center"/>
            </w:pPr>
            <w:r>
              <w:t xml:space="preserve">gift</w:t>
            </w:r>
          </w:p>
        </w:tc>
        <w:tc>
          <w:tcPr/>
          <w:p>
            <w:pPr>
              <w:pStyle w:val="Compact"/>
              <w:jc w:val="center"/>
            </w:pPr>
            <w:r>
              <w:t xml:space="preserve">Geschenk</w:t>
            </w:r>
          </w:p>
        </w:tc>
        <w:tc>
          <w:tcPr/>
          <w:p>
            <w:pPr>
              <w:pStyle w:val="Compact"/>
              <w:jc w:val="center"/>
            </w:pPr>
            <w:r>
              <w:t xml:space="preserve">regalo</w:t>
            </w:r>
          </w:p>
        </w:tc>
        <w:tc>
          <w:tcPr/>
          <w:p>
            <w:pPr>
              <w:pStyle w:val="Compact"/>
              <w:jc w:val="center"/>
            </w:pPr>
            <w:r>
              <w:t xml:space="preserve">noncognate</w:t>
            </w:r>
          </w:p>
        </w:tc>
      </w:tr>
      <w:tr>
        <w:tc>
          <w:tcPr/>
          <w:p>
            <w:pPr>
              <w:pStyle w:val="Compact"/>
              <w:jc w:val="center"/>
            </w:pPr>
            <w:r>
              <w:t xml:space="preserve">quilt</w:t>
            </w:r>
          </w:p>
        </w:tc>
        <w:tc>
          <w:tcPr/>
          <w:p>
            <w:pPr>
              <w:pStyle w:val="Compact"/>
              <w:jc w:val="center"/>
            </w:pPr>
            <w:r>
              <w:t xml:space="preserve">Tagesdecke</w:t>
            </w:r>
          </w:p>
        </w:tc>
        <w:tc>
          <w:tcPr/>
          <w:p>
            <w:pPr>
              <w:pStyle w:val="Compact"/>
              <w:jc w:val="center"/>
            </w:pPr>
            <w:r>
              <w:t xml:space="preserve">colcha</w:t>
            </w:r>
          </w:p>
        </w:tc>
        <w:tc>
          <w:tcPr/>
          <w:p>
            <w:pPr>
              <w:pStyle w:val="Compact"/>
              <w:jc w:val="center"/>
            </w:pPr>
            <w:r>
              <w:t xml:space="preserve">noncognate</w:t>
            </w:r>
          </w:p>
        </w:tc>
      </w:tr>
      <w:tr>
        <w:tc>
          <w:tcPr/>
          <w:p>
            <w:pPr>
              <w:pStyle w:val="Compact"/>
              <w:jc w:val="center"/>
            </w:pPr>
            <w:r>
              <w:t xml:space="preserve">ugly</w:t>
            </w:r>
          </w:p>
        </w:tc>
        <w:tc>
          <w:tcPr/>
          <w:p>
            <w:pPr>
              <w:pStyle w:val="Compact"/>
              <w:jc w:val="center"/>
            </w:pPr>
            <w:r>
              <w:t xml:space="preserve">hässlich</w:t>
            </w:r>
          </w:p>
        </w:tc>
        <w:tc>
          <w:tcPr/>
          <w:p>
            <w:pPr>
              <w:pStyle w:val="Compact"/>
              <w:jc w:val="center"/>
            </w:pPr>
            <w:r>
              <w:t xml:space="preserve">feo</w:t>
            </w:r>
          </w:p>
        </w:tc>
        <w:tc>
          <w:tcPr/>
          <w:p>
            <w:pPr>
              <w:pStyle w:val="Compact"/>
              <w:jc w:val="center"/>
            </w:pPr>
            <w:r>
              <w:t xml:space="preserve">noncognate</w:t>
            </w:r>
          </w:p>
        </w:tc>
      </w:tr>
      <w:tr>
        <w:tc>
          <w:tcPr/>
          <w:p>
            <w:pPr>
              <w:pStyle w:val="Compact"/>
              <w:jc w:val="center"/>
            </w:pPr>
            <w:r>
              <w:t xml:space="preserve">century</w:t>
            </w:r>
          </w:p>
        </w:tc>
        <w:tc>
          <w:tcPr/>
          <w:p>
            <w:pPr>
              <w:pStyle w:val="Compact"/>
              <w:jc w:val="center"/>
            </w:pPr>
            <w:r>
              <w:t xml:space="preserve">Jahrhundert</w:t>
            </w:r>
          </w:p>
        </w:tc>
        <w:tc>
          <w:tcPr/>
          <w:p>
            <w:pPr>
              <w:pStyle w:val="Compact"/>
              <w:jc w:val="center"/>
            </w:pPr>
            <w:r>
              <w:t xml:space="preserve">siglo</w:t>
            </w:r>
          </w:p>
        </w:tc>
        <w:tc>
          <w:tcPr/>
          <w:p>
            <w:pPr>
              <w:pStyle w:val="Compact"/>
              <w:jc w:val="center"/>
            </w:pPr>
            <w:r>
              <w:t xml:space="preserve">noncognate</w:t>
            </w:r>
          </w:p>
        </w:tc>
      </w:tr>
      <w:tr>
        <w:tc>
          <w:tcPr/>
          <w:p>
            <w:pPr>
              <w:pStyle w:val="Compact"/>
              <w:jc w:val="center"/>
            </w:pPr>
            <w:r>
              <w:t xml:space="preserve">customs</w:t>
            </w:r>
          </w:p>
        </w:tc>
        <w:tc>
          <w:tcPr/>
          <w:p>
            <w:pPr>
              <w:pStyle w:val="Compact"/>
              <w:jc w:val="center"/>
            </w:pPr>
            <w:r>
              <w:t xml:space="preserve">Zoll</w:t>
            </w:r>
          </w:p>
        </w:tc>
        <w:tc>
          <w:tcPr/>
          <w:p>
            <w:pPr>
              <w:pStyle w:val="Compact"/>
              <w:jc w:val="center"/>
            </w:pPr>
            <w:r>
              <w:t xml:space="preserve">aduana</w:t>
            </w:r>
          </w:p>
        </w:tc>
        <w:tc>
          <w:tcPr/>
          <w:p>
            <w:pPr>
              <w:pStyle w:val="Compact"/>
              <w:jc w:val="center"/>
            </w:pPr>
            <w:r>
              <w:t xml:space="preserve">noncognate</w:t>
            </w:r>
          </w:p>
        </w:tc>
      </w:tr>
      <w:tr>
        <w:tc>
          <w:tcPr/>
          <w:p>
            <w:pPr>
              <w:pStyle w:val="Compact"/>
              <w:jc w:val="center"/>
            </w:pPr>
            <w:r>
              <w:t xml:space="preserve">stick</w:t>
            </w:r>
          </w:p>
        </w:tc>
        <w:tc>
          <w:tcPr/>
          <w:p>
            <w:pPr>
              <w:pStyle w:val="Compact"/>
              <w:jc w:val="center"/>
            </w:pPr>
            <w:r>
              <w:t xml:space="preserve">zusammenkleben</w:t>
            </w:r>
          </w:p>
        </w:tc>
        <w:tc>
          <w:tcPr/>
          <w:p>
            <w:pPr>
              <w:pStyle w:val="Compact"/>
              <w:jc w:val="center"/>
            </w:pPr>
            <w:r>
              <w:t xml:space="preserve">pegar</w:t>
            </w:r>
          </w:p>
        </w:tc>
        <w:tc>
          <w:tcPr/>
          <w:p>
            <w:pPr>
              <w:pStyle w:val="Compact"/>
              <w:jc w:val="center"/>
            </w:pPr>
            <w:r>
              <w:t xml:space="preserve">noncognate</w:t>
            </w:r>
          </w:p>
        </w:tc>
      </w:tr>
      <w:tr>
        <w:tc>
          <w:tcPr/>
          <w:p>
            <w:pPr>
              <w:pStyle w:val="Compact"/>
              <w:jc w:val="center"/>
            </w:pPr>
            <w:r>
              <w:t xml:space="preserve">thread</w:t>
            </w:r>
          </w:p>
        </w:tc>
        <w:tc>
          <w:tcPr/>
          <w:p>
            <w:pPr>
              <w:pStyle w:val="Compact"/>
              <w:jc w:val="center"/>
            </w:pPr>
            <w:r>
              <w:t xml:space="preserve">Faden</w:t>
            </w:r>
          </w:p>
        </w:tc>
        <w:tc>
          <w:tcPr/>
          <w:p>
            <w:pPr>
              <w:pStyle w:val="Compact"/>
              <w:jc w:val="center"/>
            </w:pPr>
            <w:r>
              <w:t xml:space="preserve">hilo</w:t>
            </w:r>
          </w:p>
        </w:tc>
        <w:tc>
          <w:tcPr/>
          <w:p>
            <w:pPr>
              <w:pStyle w:val="Compact"/>
              <w:jc w:val="center"/>
            </w:pPr>
            <w:r>
              <w:t xml:space="preserve">noncognate</w:t>
            </w:r>
          </w:p>
        </w:tc>
      </w:tr>
      <w:tr>
        <w:tc>
          <w:tcPr/>
          <w:p>
            <w:pPr>
              <w:pStyle w:val="Compact"/>
              <w:jc w:val="center"/>
            </w:pPr>
            <w:r>
              <w:t xml:space="preserve">curly</w:t>
            </w:r>
          </w:p>
        </w:tc>
        <w:tc>
          <w:tcPr/>
          <w:p>
            <w:pPr>
              <w:pStyle w:val="Compact"/>
              <w:jc w:val="center"/>
            </w:pPr>
            <w:r>
              <w:t xml:space="preserve">lockig</w:t>
            </w:r>
          </w:p>
        </w:tc>
        <w:tc>
          <w:tcPr/>
          <w:p>
            <w:pPr>
              <w:pStyle w:val="Compact"/>
              <w:jc w:val="center"/>
            </w:pPr>
            <w:r>
              <w:t xml:space="preserve">rizado</w:t>
            </w:r>
          </w:p>
        </w:tc>
        <w:tc>
          <w:tcPr/>
          <w:p>
            <w:pPr>
              <w:pStyle w:val="Compact"/>
              <w:jc w:val="center"/>
            </w:pPr>
            <w:r>
              <w:t xml:space="preserve">noncognate</w:t>
            </w:r>
          </w:p>
        </w:tc>
      </w:tr>
      <w:tr>
        <w:tc>
          <w:tcPr/>
          <w:p>
            <w:pPr>
              <w:pStyle w:val="Compact"/>
              <w:jc w:val="center"/>
            </w:pPr>
            <w:r>
              <w:t xml:space="preserve">war</w:t>
            </w:r>
          </w:p>
        </w:tc>
        <w:tc>
          <w:tcPr/>
          <w:p>
            <w:pPr>
              <w:pStyle w:val="Compact"/>
              <w:jc w:val="center"/>
            </w:pPr>
            <w:r>
              <w:t xml:space="preserve">Krieg</w:t>
            </w:r>
          </w:p>
        </w:tc>
        <w:tc>
          <w:tcPr/>
          <w:p>
            <w:pPr>
              <w:pStyle w:val="Compact"/>
              <w:jc w:val="center"/>
            </w:pPr>
            <w:r>
              <w:t xml:space="preserve">guerra</w:t>
            </w:r>
          </w:p>
        </w:tc>
        <w:tc>
          <w:tcPr/>
          <w:p>
            <w:pPr>
              <w:pStyle w:val="Compact"/>
              <w:jc w:val="center"/>
            </w:pPr>
            <w:r>
              <w:t xml:space="preserve">noncognate</w:t>
            </w:r>
          </w:p>
        </w:tc>
      </w:tr>
      <w:tr>
        <w:tc>
          <w:tcPr/>
          <w:p>
            <w:pPr>
              <w:pStyle w:val="Compact"/>
              <w:jc w:val="center"/>
            </w:pPr>
            <w:r>
              <w:t xml:space="preserve">fin</w:t>
            </w:r>
          </w:p>
        </w:tc>
        <w:tc>
          <w:tcPr/>
          <w:p>
            <w:pPr>
              <w:pStyle w:val="Compact"/>
              <w:jc w:val="center"/>
            </w:pPr>
            <w:r>
              <w:t xml:space="preserve">Flosse</w:t>
            </w:r>
          </w:p>
        </w:tc>
        <w:tc>
          <w:tcPr/>
          <w:p>
            <w:pPr>
              <w:pStyle w:val="Compact"/>
              <w:jc w:val="center"/>
            </w:pPr>
            <w:r>
              <w:t xml:space="preserve">aleta</w:t>
            </w:r>
          </w:p>
        </w:tc>
        <w:tc>
          <w:tcPr/>
          <w:p>
            <w:pPr>
              <w:pStyle w:val="Compact"/>
              <w:jc w:val="center"/>
            </w:pPr>
            <w:r>
              <w:t xml:space="preserve">noncognate</w:t>
            </w:r>
          </w:p>
        </w:tc>
      </w:tr>
      <w:tr>
        <w:tc>
          <w:tcPr/>
          <w:p>
            <w:pPr>
              <w:pStyle w:val="Compact"/>
              <w:jc w:val="center"/>
            </w:pPr>
            <w:r>
              <w:t xml:space="preserve">call</w:t>
            </w:r>
          </w:p>
        </w:tc>
        <w:tc>
          <w:tcPr/>
          <w:p>
            <w:pPr>
              <w:pStyle w:val="Compact"/>
              <w:jc w:val="center"/>
            </w:pPr>
            <w:r>
              <w:t xml:space="preserve">anrufen</w:t>
            </w:r>
          </w:p>
        </w:tc>
        <w:tc>
          <w:tcPr/>
          <w:p>
            <w:pPr>
              <w:pStyle w:val="Compact"/>
              <w:jc w:val="center"/>
            </w:pPr>
            <w:r>
              <w:t xml:space="preserve">llamar</w:t>
            </w:r>
          </w:p>
        </w:tc>
        <w:tc>
          <w:tcPr/>
          <w:p>
            <w:pPr>
              <w:pStyle w:val="Compact"/>
              <w:jc w:val="center"/>
            </w:pPr>
            <w:r>
              <w:t xml:space="preserve">noncognate</w:t>
            </w:r>
          </w:p>
        </w:tc>
      </w:tr>
      <w:tr>
        <w:tc>
          <w:tcPr/>
          <w:p>
            <w:pPr>
              <w:pStyle w:val="Compact"/>
              <w:jc w:val="center"/>
            </w:pPr>
            <w:r>
              <w:t xml:space="preserve">dagger</w:t>
            </w:r>
          </w:p>
        </w:tc>
        <w:tc>
          <w:tcPr/>
          <w:p>
            <w:pPr>
              <w:pStyle w:val="Compact"/>
              <w:jc w:val="center"/>
            </w:pPr>
            <w:r>
              <w:t xml:space="preserve">Dolch</w:t>
            </w:r>
          </w:p>
        </w:tc>
        <w:tc>
          <w:tcPr/>
          <w:p>
            <w:pPr>
              <w:pStyle w:val="Compact"/>
              <w:jc w:val="center"/>
            </w:pPr>
            <w:r>
              <w:t xml:space="preserve">puñal</w:t>
            </w:r>
          </w:p>
        </w:tc>
        <w:tc>
          <w:tcPr/>
          <w:p>
            <w:pPr>
              <w:pStyle w:val="Compact"/>
              <w:jc w:val="center"/>
            </w:pPr>
            <w:r>
              <w:t xml:space="preserve">noncognate</w:t>
            </w:r>
          </w:p>
        </w:tc>
      </w:tr>
      <w:tr>
        <w:tc>
          <w:tcPr/>
          <w:p>
            <w:pPr>
              <w:pStyle w:val="Compact"/>
              <w:jc w:val="center"/>
            </w:pPr>
            <w:r>
              <w:t xml:space="preserve">chalk</w:t>
            </w:r>
          </w:p>
        </w:tc>
        <w:tc>
          <w:tcPr/>
          <w:p>
            <w:pPr>
              <w:pStyle w:val="Compact"/>
              <w:jc w:val="center"/>
            </w:pPr>
            <w:r>
              <w:t xml:space="preserve">Kreide</w:t>
            </w:r>
          </w:p>
        </w:tc>
        <w:tc>
          <w:tcPr/>
          <w:p>
            <w:pPr>
              <w:pStyle w:val="Compact"/>
              <w:jc w:val="center"/>
            </w:pPr>
            <w:r>
              <w:t xml:space="preserve">tiza</w:t>
            </w:r>
          </w:p>
        </w:tc>
        <w:tc>
          <w:tcPr/>
          <w:p>
            <w:pPr>
              <w:pStyle w:val="Compact"/>
              <w:jc w:val="center"/>
            </w:pPr>
            <w:r>
              <w:t xml:space="preserve">noncognate</w:t>
            </w:r>
          </w:p>
        </w:tc>
      </w:tr>
      <w:tr>
        <w:tc>
          <w:tcPr/>
          <w:p>
            <w:pPr>
              <w:pStyle w:val="Compact"/>
              <w:jc w:val="center"/>
            </w:pPr>
            <w:r>
              <w:t xml:space="preserve">mood</w:t>
            </w:r>
          </w:p>
        </w:tc>
        <w:tc>
          <w:tcPr/>
          <w:p>
            <w:pPr>
              <w:pStyle w:val="Compact"/>
              <w:jc w:val="center"/>
            </w:pPr>
            <w:r>
              <w:t xml:space="preserve">Laune</w:t>
            </w:r>
          </w:p>
        </w:tc>
        <w:tc>
          <w:tcPr/>
          <w:p>
            <w:pPr>
              <w:pStyle w:val="Compact"/>
              <w:jc w:val="center"/>
            </w:pPr>
            <w:r>
              <w:t xml:space="preserve">ánimo</w:t>
            </w:r>
          </w:p>
        </w:tc>
        <w:tc>
          <w:tcPr/>
          <w:p>
            <w:pPr>
              <w:pStyle w:val="Compact"/>
              <w:jc w:val="center"/>
            </w:pPr>
            <w:r>
              <w:t xml:space="preserve">noncognate</w:t>
            </w:r>
          </w:p>
        </w:tc>
      </w:tr>
      <w:tr>
        <w:tc>
          <w:tcPr/>
          <w:p>
            <w:pPr>
              <w:pStyle w:val="Compact"/>
              <w:jc w:val="center"/>
            </w:pPr>
            <w:r>
              <w:t xml:space="preserve">cake</w:t>
            </w:r>
          </w:p>
        </w:tc>
        <w:tc>
          <w:tcPr/>
          <w:p>
            <w:pPr>
              <w:pStyle w:val="Compact"/>
              <w:jc w:val="center"/>
            </w:pPr>
            <w:r>
              <w:t xml:space="preserve">Kuchen</w:t>
            </w:r>
          </w:p>
        </w:tc>
        <w:tc>
          <w:tcPr/>
          <w:p>
            <w:pPr>
              <w:pStyle w:val="Compact"/>
              <w:jc w:val="center"/>
            </w:pPr>
            <w:r>
              <w:t xml:space="preserve">torta</w:t>
            </w:r>
          </w:p>
        </w:tc>
        <w:tc>
          <w:tcPr/>
          <w:p>
            <w:pPr>
              <w:pStyle w:val="Compact"/>
              <w:jc w:val="center"/>
            </w:pPr>
            <w:r>
              <w:t xml:space="preserve">noncognate</w:t>
            </w:r>
          </w:p>
        </w:tc>
      </w:tr>
      <w:tr>
        <w:tc>
          <w:tcPr/>
          <w:p>
            <w:pPr>
              <w:pStyle w:val="Compact"/>
              <w:jc w:val="center"/>
            </w:pPr>
            <w:r>
              <w:t xml:space="preserve">face</w:t>
            </w:r>
          </w:p>
        </w:tc>
        <w:tc>
          <w:tcPr/>
          <w:p>
            <w:pPr>
              <w:pStyle w:val="Compact"/>
              <w:jc w:val="center"/>
            </w:pPr>
            <w:r>
              <w:t xml:space="preserve">Gesicht</w:t>
            </w:r>
          </w:p>
        </w:tc>
        <w:tc>
          <w:tcPr/>
          <w:p>
            <w:pPr>
              <w:pStyle w:val="Compact"/>
              <w:jc w:val="center"/>
            </w:pPr>
            <w:r>
              <w:t xml:space="preserve">rostro</w:t>
            </w:r>
          </w:p>
        </w:tc>
        <w:tc>
          <w:tcPr/>
          <w:p>
            <w:pPr>
              <w:pStyle w:val="Compact"/>
              <w:jc w:val="center"/>
            </w:pPr>
            <w:r>
              <w:t xml:space="preserve">noncognate</w:t>
            </w:r>
          </w:p>
        </w:tc>
      </w:tr>
      <w:tr>
        <w:tc>
          <w:tcPr/>
          <w:p>
            <w:pPr>
              <w:pStyle w:val="Compact"/>
              <w:jc w:val="center"/>
            </w:pPr>
            <w:r>
              <w:t xml:space="preserve">carry</w:t>
            </w:r>
          </w:p>
        </w:tc>
        <w:tc>
          <w:tcPr/>
          <w:p>
            <w:pPr>
              <w:pStyle w:val="Compact"/>
              <w:jc w:val="center"/>
            </w:pPr>
            <w:r>
              <w:t xml:space="preserve">tragen</w:t>
            </w:r>
          </w:p>
        </w:tc>
        <w:tc>
          <w:tcPr/>
          <w:p>
            <w:pPr>
              <w:pStyle w:val="Compact"/>
              <w:jc w:val="center"/>
            </w:pPr>
            <w:r>
              <w:t xml:space="preserve">llevar</w:t>
            </w:r>
          </w:p>
        </w:tc>
        <w:tc>
          <w:tcPr/>
          <w:p>
            <w:pPr>
              <w:pStyle w:val="Compact"/>
              <w:jc w:val="center"/>
            </w:pPr>
            <w:r>
              <w:t xml:space="preserve">noncognate</w:t>
            </w:r>
          </w:p>
        </w:tc>
      </w:tr>
      <w:tr>
        <w:tc>
          <w:tcPr/>
          <w:p>
            <w:pPr>
              <w:pStyle w:val="Compact"/>
              <w:jc w:val="center"/>
            </w:pPr>
            <w:r>
              <w:t xml:space="preserve">wing</w:t>
            </w:r>
          </w:p>
        </w:tc>
        <w:tc>
          <w:tcPr/>
          <w:p>
            <w:pPr>
              <w:pStyle w:val="Compact"/>
              <w:jc w:val="center"/>
            </w:pPr>
            <w:r>
              <w:t xml:space="preserve">Flügel</w:t>
            </w:r>
          </w:p>
        </w:tc>
        <w:tc>
          <w:tcPr/>
          <w:p>
            <w:pPr>
              <w:pStyle w:val="Compact"/>
              <w:jc w:val="center"/>
            </w:pPr>
            <w:r>
              <w:t xml:space="preserve">ala</w:t>
            </w:r>
          </w:p>
        </w:tc>
        <w:tc>
          <w:tcPr/>
          <w:p>
            <w:pPr>
              <w:pStyle w:val="Compact"/>
              <w:jc w:val="center"/>
            </w:pPr>
            <w:r>
              <w:t xml:space="preserve">noncognate</w:t>
            </w:r>
          </w:p>
        </w:tc>
      </w:tr>
      <w:tr>
        <w:tc>
          <w:tcPr/>
          <w:p>
            <w:pPr>
              <w:pStyle w:val="Compact"/>
              <w:jc w:val="center"/>
            </w:pPr>
            <w:r>
              <w:t xml:space="preserve">kick</w:t>
            </w:r>
          </w:p>
        </w:tc>
        <w:tc>
          <w:tcPr/>
          <w:p>
            <w:pPr>
              <w:pStyle w:val="Compact"/>
              <w:jc w:val="center"/>
            </w:pPr>
            <w:r>
              <w:t xml:space="preserve">Fußtritt</w:t>
            </w:r>
          </w:p>
        </w:tc>
        <w:tc>
          <w:tcPr/>
          <w:p>
            <w:pPr>
              <w:pStyle w:val="Compact"/>
              <w:jc w:val="center"/>
            </w:pPr>
            <w:r>
              <w:t xml:space="preserve">patada</w:t>
            </w:r>
          </w:p>
        </w:tc>
        <w:tc>
          <w:tcPr/>
          <w:p>
            <w:pPr>
              <w:pStyle w:val="Compact"/>
              <w:jc w:val="center"/>
            </w:pPr>
            <w:r>
              <w:t xml:space="preserve">noncognate</w:t>
            </w:r>
          </w:p>
        </w:tc>
      </w:tr>
      <w:tr>
        <w:tc>
          <w:tcPr/>
          <w:p>
            <w:pPr>
              <w:pStyle w:val="Compact"/>
              <w:jc w:val="center"/>
            </w:pPr>
            <w:r>
              <w:t xml:space="preserve">clash</w:t>
            </w:r>
          </w:p>
        </w:tc>
        <w:tc>
          <w:tcPr/>
          <w:p>
            <w:pPr>
              <w:pStyle w:val="Compact"/>
              <w:jc w:val="center"/>
            </w:pPr>
            <w:r>
              <w:t xml:space="preserve">zusammenprallen</w:t>
            </w:r>
          </w:p>
        </w:tc>
        <w:tc>
          <w:tcPr/>
          <w:p>
            <w:pPr>
              <w:pStyle w:val="Compact"/>
              <w:jc w:val="center"/>
            </w:pPr>
            <w:r>
              <w:t xml:space="preserve">chocar</w:t>
            </w:r>
          </w:p>
        </w:tc>
        <w:tc>
          <w:tcPr/>
          <w:p>
            <w:pPr>
              <w:pStyle w:val="Compact"/>
              <w:jc w:val="center"/>
            </w:pPr>
            <w:r>
              <w:t xml:space="preserve">noncognate</w:t>
            </w:r>
          </w:p>
        </w:tc>
      </w:tr>
      <w:tr>
        <w:tc>
          <w:tcPr/>
          <w:p>
            <w:pPr>
              <w:pStyle w:val="Compact"/>
              <w:jc w:val="center"/>
            </w:pPr>
            <w:r>
              <w:t xml:space="preserve">smooth</w:t>
            </w:r>
          </w:p>
        </w:tc>
        <w:tc>
          <w:tcPr/>
          <w:p>
            <w:pPr>
              <w:pStyle w:val="Compact"/>
              <w:jc w:val="center"/>
            </w:pPr>
            <w:r>
              <w:t xml:space="preserve">weich</w:t>
            </w:r>
          </w:p>
        </w:tc>
        <w:tc>
          <w:tcPr/>
          <w:p>
            <w:pPr>
              <w:pStyle w:val="Compact"/>
              <w:jc w:val="center"/>
            </w:pPr>
            <w:r>
              <w:t xml:space="preserve">suave</w:t>
            </w:r>
          </w:p>
        </w:tc>
        <w:tc>
          <w:tcPr/>
          <w:p>
            <w:pPr>
              <w:pStyle w:val="Compact"/>
              <w:jc w:val="center"/>
            </w:pPr>
            <w:r>
              <w:t xml:space="preserve">noncognate</w:t>
            </w:r>
          </w:p>
        </w:tc>
      </w:tr>
      <w:tr>
        <w:tc>
          <w:tcPr/>
          <w:p>
            <w:pPr>
              <w:pStyle w:val="Compact"/>
              <w:jc w:val="center"/>
            </w:pPr>
            <w:r>
              <w:t xml:space="preserve">yield</w:t>
            </w:r>
          </w:p>
        </w:tc>
        <w:tc>
          <w:tcPr/>
          <w:p>
            <w:pPr>
              <w:pStyle w:val="Compact"/>
              <w:jc w:val="center"/>
            </w:pPr>
            <w:r>
              <w:t xml:space="preserve">ergeben</w:t>
            </w:r>
          </w:p>
        </w:tc>
        <w:tc>
          <w:tcPr/>
          <w:p>
            <w:pPr>
              <w:pStyle w:val="Compact"/>
              <w:jc w:val="center"/>
            </w:pPr>
            <w:r>
              <w:t xml:space="preserve">rendir</w:t>
            </w:r>
          </w:p>
        </w:tc>
        <w:tc>
          <w:tcPr/>
          <w:p>
            <w:pPr>
              <w:pStyle w:val="Compact"/>
              <w:jc w:val="center"/>
            </w:pPr>
            <w:r>
              <w:t xml:space="preserve">noncognate</w:t>
            </w:r>
          </w:p>
        </w:tc>
      </w:tr>
      <w:tr>
        <w:tc>
          <w:tcPr/>
          <w:p>
            <w:pPr>
              <w:pStyle w:val="Compact"/>
              <w:jc w:val="center"/>
            </w:pPr>
            <w:r>
              <w:t xml:space="preserve">ground</w:t>
            </w:r>
          </w:p>
        </w:tc>
        <w:tc>
          <w:tcPr/>
          <w:p>
            <w:pPr>
              <w:pStyle w:val="Compact"/>
              <w:jc w:val="center"/>
            </w:pPr>
            <w:r>
              <w:t xml:space="preserve">Boden</w:t>
            </w:r>
          </w:p>
        </w:tc>
        <w:tc>
          <w:tcPr/>
          <w:p>
            <w:pPr>
              <w:pStyle w:val="Compact"/>
              <w:jc w:val="center"/>
            </w:pPr>
            <w:r>
              <w:t xml:space="preserve">suelo</w:t>
            </w:r>
          </w:p>
        </w:tc>
        <w:tc>
          <w:tcPr/>
          <w:p>
            <w:pPr>
              <w:pStyle w:val="Compact"/>
              <w:jc w:val="center"/>
            </w:pPr>
            <w:r>
              <w:t xml:space="preserve">noncognate</w:t>
            </w:r>
          </w:p>
        </w:tc>
      </w:tr>
      <w:tr>
        <w:tc>
          <w:tcPr/>
          <w:p>
            <w:pPr>
              <w:pStyle w:val="Compact"/>
              <w:jc w:val="center"/>
            </w:pPr>
            <w:r>
              <w:t xml:space="preserve">bowl</w:t>
            </w:r>
          </w:p>
        </w:tc>
        <w:tc>
          <w:tcPr/>
          <w:p>
            <w:pPr>
              <w:pStyle w:val="Compact"/>
              <w:jc w:val="center"/>
            </w:pPr>
            <w:r>
              <w:t xml:space="preserve">Schüssel</w:t>
            </w:r>
          </w:p>
        </w:tc>
        <w:tc>
          <w:tcPr/>
          <w:p>
            <w:pPr>
              <w:pStyle w:val="Compact"/>
              <w:jc w:val="center"/>
            </w:pPr>
            <w:r>
              <w:t xml:space="preserve">cuenco</w:t>
            </w:r>
          </w:p>
        </w:tc>
        <w:tc>
          <w:tcPr/>
          <w:p>
            <w:pPr>
              <w:pStyle w:val="Compact"/>
              <w:jc w:val="center"/>
            </w:pPr>
            <w:r>
              <w:t xml:space="preserve">noncognate</w:t>
            </w:r>
          </w:p>
        </w:tc>
      </w:tr>
      <w:tr>
        <w:tc>
          <w:tcPr/>
          <w:p>
            <w:pPr>
              <w:pStyle w:val="Compact"/>
              <w:jc w:val="center"/>
            </w:pPr>
            <w:r>
              <w:t xml:space="preserve">withdraw</w:t>
            </w:r>
          </w:p>
        </w:tc>
        <w:tc>
          <w:tcPr/>
          <w:p>
            <w:pPr>
              <w:pStyle w:val="Compact"/>
              <w:jc w:val="center"/>
            </w:pPr>
            <w:r>
              <w:t xml:space="preserve">abheben</w:t>
            </w:r>
          </w:p>
        </w:tc>
        <w:tc>
          <w:tcPr/>
          <w:p>
            <w:pPr>
              <w:pStyle w:val="Compact"/>
              <w:jc w:val="center"/>
            </w:pPr>
            <w:r>
              <w:t xml:space="preserve">sacar</w:t>
            </w:r>
          </w:p>
        </w:tc>
        <w:tc>
          <w:tcPr/>
          <w:p>
            <w:pPr>
              <w:pStyle w:val="Compact"/>
              <w:jc w:val="center"/>
            </w:pPr>
            <w:r>
              <w:t xml:space="preserve">noncognate</w:t>
            </w:r>
          </w:p>
        </w:tc>
      </w:tr>
      <w:tr>
        <w:tc>
          <w:tcPr/>
          <w:p>
            <w:pPr>
              <w:pStyle w:val="Compact"/>
              <w:jc w:val="center"/>
            </w:pPr>
            <w:r>
              <w:t xml:space="preserve">sparkle</w:t>
            </w:r>
          </w:p>
        </w:tc>
        <w:tc>
          <w:tcPr/>
          <w:p>
            <w:pPr>
              <w:pStyle w:val="Compact"/>
              <w:jc w:val="center"/>
            </w:pPr>
            <w:r>
              <w:t xml:space="preserve">Glanz</w:t>
            </w:r>
          </w:p>
        </w:tc>
        <w:tc>
          <w:tcPr/>
          <w:p>
            <w:pPr>
              <w:pStyle w:val="Compact"/>
              <w:jc w:val="center"/>
            </w:pPr>
            <w:r>
              <w:t xml:space="preserve">brillo</w:t>
            </w:r>
          </w:p>
        </w:tc>
        <w:tc>
          <w:tcPr/>
          <w:p>
            <w:pPr>
              <w:pStyle w:val="Compact"/>
              <w:jc w:val="center"/>
            </w:pPr>
            <w:r>
              <w:t xml:space="preserve">noncognate</w:t>
            </w:r>
          </w:p>
        </w:tc>
      </w:tr>
      <w:tr>
        <w:tc>
          <w:tcPr/>
          <w:p>
            <w:pPr>
              <w:pStyle w:val="Compact"/>
              <w:jc w:val="center"/>
            </w:pPr>
            <w:r>
              <w:t xml:space="preserve">breath</w:t>
            </w:r>
          </w:p>
        </w:tc>
        <w:tc>
          <w:tcPr/>
          <w:p>
            <w:pPr>
              <w:pStyle w:val="Compact"/>
              <w:jc w:val="center"/>
            </w:pPr>
            <w:r>
              <w:t xml:space="preserve">Atem</w:t>
            </w:r>
          </w:p>
        </w:tc>
        <w:tc>
          <w:tcPr/>
          <w:p>
            <w:pPr>
              <w:pStyle w:val="Compact"/>
              <w:jc w:val="center"/>
            </w:pPr>
            <w:r>
              <w:t xml:space="preserve">hálito</w:t>
            </w:r>
          </w:p>
        </w:tc>
        <w:tc>
          <w:tcPr/>
          <w:p>
            <w:pPr>
              <w:pStyle w:val="Compact"/>
              <w:jc w:val="center"/>
            </w:pPr>
            <w:r>
              <w:t xml:space="preserve">noncognate</w:t>
            </w:r>
          </w:p>
        </w:tc>
      </w:tr>
      <w:tr>
        <w:tc>
          <w:tcPr/>
          <w:p>
            <w:pPr>
              <w:pStyle w:val="Compact"/>
              <w:jc w:val="center"/>
            </w:pPr>
            <w:r>
              <w:t xml:space="preserve">notice</w:t>
            </w:r>
          </w:p>
        </w:tc>
        <w:tc>
          <w:tcPr/>
          <w:p>
            <w:pPr>
              <w:pStyle w:val="Compact"/>
              <w:jc w:val="center"/>
            </w:pPr>
            <w:r>
              <w:t xml:space="preserve">Benachrichtigung</w:t>
            </w:r>
          </w:p>
        </w:tc>
        <w:tc>
          <w:tcPr/>
          <w:p>
            <w:pPr>
              <w:pStyle w:val="Compact"/>
              <w:jc w:val="center"/>
            </w:pPr>
            <w:r>
              <w:t xml:space="preserve">aviso</w:t>
            </w:r>
          </w:p>
        </w:tc>
        <w:tc>
          <w:tcPr/>
          <w:p>
            <w:pPr>
              <w:pStyle w:val="Compact"/>
              <w:jc w:val="center"/>
            </w:pPr>
            <w:r>
              <w:t xml:space="preserve">noncognate</w:t>
            </w:r>
          </w:p>
        </w:tc>
      </w:tr>
      <w:tr>
        <w:tc>
          <w:tcPr/>
          <w:p>
            <w:pPr>
              <w:pStyle w:val="Compact"/>
              <w:jc w:val="center"/>
            </w:pPr>
            <w:r>
              <w:t xml:space="preserve">huge</w:t>
            </w:r>
          </w:p>
        </w:tc>
        <w:tc>
          <w:tcPr/>
          <w:p>
            <w:pPr>
              <w:pStyle w:val="Compact"/>
              <w:jc w:val="center"/>
            </w:pPr>
            <w:r>
              <w:t xml:space="preserve">riesig</w:t>
            </w:r>
          </w:p>
        </w:tc>
        <w:tc>
          <w:tcPr/>
          <w:p>
            <w:pPr>
              <w:pStyle w:val="Compact"/>
              <w:jc w:val="center"/>
            </w:pPr>
            <w:r>
              <w:t xml:space="preserve">enorme</w:t>
            </w:r>
          </w:p>
        </w:tc>
        <w:tc>
          <w:tcPr/>
          <w:p>
            <w:pPr>
              <w:pStyle w:val="Compact"/>
              <w:jc w:val="center"/>
            </w:pPr>
            <w:r>
              <w:t xml:space="preserve">noncognate</w:t>
            </w:r>
          </w:p>
        </w:tc>
      </w:tr>
      <w:tr>
        <w:tc>
          <w:tcPr/>
          <w:p>
            <w:pPr>
              <w:pStyle w:val="Compact"/>
              <w:jc w:val="center"/>
            </w:pPr>
            <w:r>
              <w:t xml:space="preserve">bowl</w:t>
            </w:r>
          </w:p>
        </w:tc>
        <w:tc>
          <w:tcPr/>
          <w:p>
            <w:pPr>
              <w:pStyle w:val="Compact"/>
              <w:jc w:val="center"/>
            </w:pPr>
            <w:r>
              <w:t xml:space="preserve">Schüssel</w:t>
            </w:r>
          </w:p>
        </w:tc>
        <w:tc>
          <w:tcPr/>
          <w:p>
            <w:pPr>
              <w:pStyle w:val="Compact"/>
              <w:jc w:val="center"/>
            </w:pPr>
            <w:r>
              <w:t xml:space="preserve">cuenco</w:t>
            </w:r>
          </w:p>
        </w:tc>
        <w:tc>
          <w:tcPr/>
          <w:p>
            <w:pPr>
              <w:pStyle w:val="Compact"/>
              <w:jc w:val="center"/>
            </w:pPr>
            <w:r>
              <w:t xml:space="preserve">noncognate</w:t>
            </w:r>
          </w:p>
        </w:tc>
      </w:tr>
      <w:tr>
        <w:tc>
          <w:tcPr/>
          <w:p>
            <w:pPr>
              <w:pStyle w:val="Compact"/>
              <w:jc w:val="center"/>
            </w:pPr>
            <w:r>
              <w:t xml:space="preserve">crutch</w:t>
            </w:r>
          </w:p>
        </w:tc>
        <w:tc>
          <w:tcPr/>
          <w:p>
            <w:pPr>
              <w:pStyle w:val="Compact"/>
              <w:jc w:val="center"/>
            </w:pPr>
            <w:r>
              <w:t xml:space="preserve">Krücke</w:t>
            </w:r>
          </w:p>
        </w:tc>
        <w:tc>
          <w:tcPr/>
          <w:p>
            <w:pPr>
              <w:pStyle w:val="Compact"/>
              <w:jc w:val="center"/>
            </w:pPr>
            <w:r>
              <w:t xml:space="preserve">muleta</w:t>
            </w:r>
          </w:p>
        </w:tc>
        <w:tc>
          <w:tcPr/>
          <w:p>
            <w:pPr>
              <w:pStyle w:val="Compact"/>
              <w:jc w:val="center"/>
            </w:pPr>
            <w:r>
              <w:t xml:space="preserve">noncognate</w:t>
            </w:r>
          </w:p>
        </w:tc>
      </w:tr>
      <w:tr>
        <w:tc>
          <w:tcPr/>
          <w:p>
            <w:pPr>
              <w:pStyle w:val="Compact"/>
              <w:jc w:val="center"/>
            </w:pPr>
            <w:r>
              <w:t xml:space="preserve">hanger</w:t>
            </w:r>
          </w:p>
        </w:tc>
        <w:tc>
          <w:tcPr/>
          <w:p>
            <w:pPr>
              <w:pStyle w:val="Compact"/>
              <w:jc w:val="center"/>
            </w:pPr>
            <w:r>
              <w:t xml:space="preserve">Kleiderbügel</w:t>
            </w:r>
          </w:p>
        </w:tc>
        <w:tc>
          <w:tcPr/>
          <w:p>
            <w:pPr>
              <w:pStyle w:val="Compact"/>
              <w:jc w:val="center"/>
            </w:pPr>
            <w:r>
              <w:t xml:space="preserve">percha</w:t>
            </w:r>
          </w:p>
        </w:tc>
        <w:tc>
          <w:tcPr/>
          <w:p>
            <w:pPr>
              <w:pStyle w:val="Compact"/>
              <w:jc w:val="center"/>
            </w:pPr>
            <w:r>
              <w:t xml:space="preserve">noncognate</w:t>
            </w:r>
          </w:p>
        </w:tc>
      </w:tr>
      <w:tr>
        <w:tc>
          <w:tcPr/>
          <w:p>
            <w:pPr>
              <w:pStyle w:val="Compact"/>
              <w:jc w:val="center"/>
            </w:pPr>
            <w:r>
              <w:t xml:space="preserve">wrist</w:t>
            </w:r>
          </w:p>
        </w:tc>
        <w:tc>
          <w:tcPr/>
          <w:p>
            <w:pPr>
              <w:pStyle w:val="Compact"/>
              <w:jc w:val="center"/>
            </w:pPr>
            <w:r>
              <w:t xml:space="preserve">Handgelenk</w:t>
            </w:r>
          </w:p>
        </w:tc>
        <w:tc>
          <w:tcPr/>
          <w:p>
            <w:pPr>
              <w:pStyle w:val="Compact"/>
              <w:jc w:val="center"/>
            </w:pPr>
            <w:r>
              <w:t xml:space="preserve">muñeca</w:t>
            </w:r>
          </w:p>
        </w:tc>
        <w:tc>
          <w:tcPr/>
          <w:p>
            <w:pPr>
              <w:pStyle w:val="Compact"/>
              <w:jc w:val="center"/>
            </w:pPr>
            <w:r>
              <w:t xml:space="preserve">noncognate</w:t>
            </w:r>
          </w:p>
        </w:tc>
      </w:tr>
      <w:tr>
        <w:tc>
          <w:tcPr/>
          <w:p>
            <w:pPr>
              <w:pStyle w:val="Compact"/>
              <w:jc w:val="center"/>
            </w:pPr>
            <w:r>
              <w:t xml:space="preserve">deer</w:t>
            </w:r>
          </w:p>
        </w:tc>
        <w:tc>
          <w:tcPr/>
          <w:p>
            <w:pPr>
              <w:pStyle w:val="Compact"/>
              <w:jc w:val="center"/>
            </w:pPr>
            <w:r>
              <w:t xml:space="preserve">Hirsch</w:t>
            </w:r>
          </w:p>
        </w:tc>
        <w:tc>
          <w:tcPr/>
          <w:p>
            <w:pPr>
              <w:pStyle w:val="Compact"/>
              <w:jc w:val="center"/>
            </w:pPr>
            <w:r>
              <w:t xml:space="preserve">venado</w:t>
            </w:r>
          </w:p>
        </w:tc>
        <w:tc>
          <w:tcPr/>
          <w:p>
            <w:pPr>
              <w:pStyle w:val="Compact"/>
              <w:jc w:val="center"/>
            </w:pPr>
            <w:r>
              <w:t xml:space="preserve">noncognate</w:t>
            </w:r>
          </w:p>
        </w:tc>
      </w:tr>
      <w:tr>
        <w:tc>
          <w:tcPr/>
          <w:p>
            <w:pPr>
              <w:pStyle w:val="Compact"/>
              <w:jc w:val="center"/>
            </w:pPr>
            <w:r>
              <w:t xml:space="preserve">team</w:t>
            </w:r>
          </w:p>
        </w:tc>
        <w:tc>
          <w:tcPr/>
          <w:p>
            <w:pPr>
              <w:pStyle w:val="Compact"/>
              <w:jc w:val="center"/>
            </w:pPr>
            <w:r>
              <w:t xml:space="preserve">Mannschaft</w:t>
            </w:r>
          </w:p>
        </w:tc>
        <w:tc>
          <w:tcPr/>
          <w:p>
            <w:pPr>
              <w:pStyle w:val="Compact"/>
              <w:jc w:val="center"/>
            </w:pPr>
            <w:r>
              <w:t xml:space="preserve">equipo</w:t>
            </w:r>
          </w:p>
        </w:tc>
        <w:tc>
          <w:tcPr/>
          <w:p>
            <w:pPr>
              <w:pStyle w:val="Compact"/>
              <w:jc w:val="center"/>
            </w:pPr>
            <w:r>
              <w:t xml:space="preserve">noncognate</w:t>
            </w:r>
          </w:p>
        </w:tc>
      </w:tr>
      <w:tr>
        <w:tc>
          <w:tcPr/>
          <w:p>
            <w:pPr>
              <w:pStyle w:val="Compact"/>
              <w:jc w:val="center"/>
            </w:pPr>
            <w:r>
              <w:t xml:space="preserve">arrow</w:t>
            </w:r>
          </w:p>
        </w:tc>
        <w:tc>
          <w:tcPr/>
          <w:p>
            <w:pPr>
              <w:pStyle w:val="Compact"/>
              <w:jc w:val="center"/>
            </w:pPr>
            <w:r>
              <w:t xml:space="preserve">Pfeil</w:t>
            </w:r>
          </w:p>
        </w:tc>
        <w:tc>
          <w:tcPr/>
          <w:p>
            <w:pPr>
              <w:pStyle w:val="Compact"/>
              <w:jc w:val="center"/>
            </w:pPr>
            <w:r>
              <w:t xml:space="preserve">flecha</w:t>
            </w:r>
          </w:p>
        </w:tc>
        <w:tc>
          <w:tcPr/>
          <w:p>
            <w:pPr>
              <w:pStyle w:val="Compact"/>
              <w:jc w:val="center"/>
            </w:pPr>
            <w:r>
              <w:t xml:space="preserve">noncognate</w:t>
            </w:r>
          </w:p>
        </w:tc>
      </w:tr>
      <w:tr>
        <w:tc>
          <w:tcPr/>
          <w:p>
            <w:pPr>
              <w:pStyle w:val="Compact"/>
              <w:jc w:val="center"/>
            </w:pPr>
            <w:r>
              <w:t xml:space="preserve">tidbit</w:t>
            </w:r>
          </w:p>
        </w:tc>
        <w:tc>
          <w:tcPr/>
          <w:p>
            <w:pPr>
              <w:pStyle w:val="Compact"/>
              <w:jc w:val="center"/>
            </w:pPr>
            <w:r>
              <w:t xml:space="preserve">Leckerbissen</w:t>
            </w:r>
          </w:p>
        </w:tc>
        <w:tc>
          <w:tcPr/>
          <w:p>
            <w:pPr>
              <w:pStyle w:val="Compact"/>
              <w:jc w:val="center"/>
            </w:pPr>
            <w:r>
              <w:t xml:space="preserve">tapa</w:t>
            </w:r>
          </w:p>
        </w:tc>
        <w:tc>
          <w:tcPr/>
          <w:p>
            <w:pPr>
              <w:pStyle w:val="Compact"/>
              <w:jc w:val="center"/>
            </w:pPr>
            <w:r>
              <w:t xml:space="preserve">noncognate</w:t>
            </w:r>
          </w:p>
        </w:tc>
      </w:tr>
      <w:tr>
        <w:tc>
          <w:tcPr/>
          <w:p>
            <w:pPr>
              <w:pStyle w:val="Compact"/>
              <w:jc w:val="center"/>
            </w:pPr>
            <w:r>
              <w:t xml:space="preserve">lining</w:t>
            </w:r>
          </w:p>
        </w:tc>
        <w:tc>
          <w:tcPr/>
          <w:p>
            <w:pPr>
              <w:pStyle w:val="Compact"/>
              <w:jc w:val="center"/>
            </w:pPr>
            <w:r>
              <w:t xml:space="preserve">Futter</w:t>
            </w:r>
          </w:p>
        </w:tc>
        <w:tc>
          <w:tcPr/>
          <w:p>
            <w:pPr>
              <w:pStyle w:val="Compact"/>
              <w:jc w:val="center"/>
            </w:pPr>
            <w:r>
              <w:t xml:space="preserve">forro</w:t>
            </w:r>
          </w:p>
        </w:tc>
        <w:tc>
          <w:tcPr/>
          <w:p>
            <w:pPr>
              <w:pStyle w:val="Compact"/>
              <w:jc w:val="center"/>
            </w:pPr>
            <w:r>
              <w:t xml:space="preserve">noncognate</w:t>
            </w:r>
          </w:p>
        </w:tc>
      </w:tr>
      <w:tr>
        <w:tc>
          <w:tcPr/>
          <w:p>
            <w:pPr>
              <w:pStyle w:val="Compact"/>
              <w:jc w:val="center"/>
            </w:pPr>
            <w:r>
              <w:t xml:space="preserve">ready</w:t>
            </w:r>
          </w:p>
        </w:tc>
        <w:tc>
          <w:tcPr/>
          <w:p>
            <w:pPr>
              <w:pStyle w:val="Compact"/>
              <w:jc w:val="center"/>
            </w:pPr>
            <w:r>
              <w:t xml:space="preserve">bereit</w:t>
            </w:r>
          </w:p>
        </w:tc>
        <w:tc>
          <w:tcPr/>
          <w:p>
            <w:pPr>
              <w:pStyle w:val="Compact"/>
              <w:jc w:val="center"/>
            </w:pPr>
            <w:r>
              <w:t xml:space="preserve">listo</w:t>
            </w:r>
          </w:p>
        </w:tc>
        <w:tc>
          <w:tcPr/>
          <w:p>
            <w:pPr>
              <w:pStyle w:val="Compact"/>
              <w:jc w:val="center"/>
            </w:pPr>
            <w:r>
              <w:t xml:space="preserve">noncognate</w:t>
            </w:r>
          </w:p>
        </w:tc>
      </w:tr>
      <w:tr>
        <w:tc>
          <w:tcPr/>
          <w:p>
            <w:pPr>
              <w:pStyle w:val="Compact"/>
              <w:jc w:val="center"/>
            </w:pPr>
            <w:r>
              <w:t xml:space="preserve">expensive</w:t>
            </w:r>
          </w:p>
        </w:tc>
        <w:tc>
          <w:tcPr/>
          <w:p>
            <w:pPr>
              <w:pStyle w:val="Compact"/>
              <w:jc w:val="center"/>
            </w:pPr>
            <w:r>
              <w:t xml:space="preserve">teuer</w:t>
            </w:r>
          </w:p>
        </w:tc>
        <w:tc>
          <w:tcPr/>
          <w:p>
            <w:pPr>
              <w:pStyle w:val="Compact"/>
              <w:jc w:val="center"/>
            </w:pPr>
            <w:r>
              <w:t xml:space="preserve">caro</w:t>
            </w:r>
          </w:p>
        </w:tc>
        <w:tc>
          <w:tcPr/>
          <w:p>
            <w:pPr>
              <w:pStyle w:val="Compact"/>
              <w:jc w:val="center"/>
            </w:pPr>
            <w:r>
              <w:t xml:space="preserve">noncognate</w:t>
            </w:r>
          </w:p>
        </w:tc>
      </w:tr>
    </w:tbl>
    <w:p>
      <w:r>
        <w:br w:type="page"/>
      </w:r>
    </w:p>
    <w:bookmarkEnd w:id="39"/>
    <w:bookmarkStart w:id="127" w:name="references"/>
    <w:p>
      <w:pPr>
        <w:pStyle w:val="Heading1"/>
      </w:pPr>
      <w:r>
        <w:t xml:space="preserve">References</w:t>
      </w:r>
    </w:p>
    <w:bookmarkStart w:id="126" w:name="refs"/>
    <w:bookmarkStart w:id="41" w:name="ref-aguinaga_echeverria_2017"/>
    <w:p>
      <w:pPr>
        <w:pStyle w:val="Bibliography"/>
      </w:pPr>
      <w:r>
        <w:t xml:space="preserve">Aguinaga Echeverría, S. (2017). All</w:t>
      </w:r>
      <w:r>
        <w:t xml:space="preserve"> </w:t>
      </w:r>
      <w:r>
        <w:t xml:space="preserve">Cognates</w:t>
      </w:r>
      <w:r>
        <w:t xml:space="preserve"> </w:t>
      </w:r>
      <w:r>
        <w:t xml:space="preserve">are not</w:t>
      </w:r>
      <w:r>
        <w:t xml:space="preserve"> </w:t>
      </w:r>
      <w:r>
        <w:t xml:space="preserve">Created</w:t>
      </w:r>
      <w:r>
        <w:t xml:space="preserve"> </w:t>
      </w:r>
      <w:r>
        <w:t xml:space="preserve">Equal</w:t>
      </w:r>
      <w:r>
        <w:t xml:space="preserve">:</w:t>
      </w:r>
      <w:r>
        <w:t xml:space="preserve"> </w:t>
      </w:r>
      <w:r>
        <w:t xml:space="preserve">Variation</w:t>
      </w:r>
      <w:r>
        <w:t xml:space="preserve"> </w:t>
      </w:r>
      <w:r>
        <w:t xml:space="preserve">in</w:t>
      </w:r>
      <w:r>
        <w:t xml:space="preserve"> </w:t>
      </w:r>
      <w:r>
        <w:t xml:space="preserve">Cognate</w:t>
      </w:r>
      <w:r>
        <w:t xml:space="preserve"> </w:t>
      </w:r>
      <w:r>
        <w:t xml:space="preserve">Recognition</w:t>
      </w:r>
      <w:r>
        <w:t xml:space="preserve"> </w:t>
      </w:r>
      <w:r>
        <w:t xml:space="preserve">and</w:t>
      </w:r>
      <w:r>
        <w:t xml:space="preserve"> </w:t>
      </w:r>
      <w:r>
        <w:t xml:space="preserve">Applications</w:t>
      </w:r>
      <w:r>
        <w:t xml:space="preserve"> </w:t>
      </w:r>
      <w:r>
        <w:t xml:space="preserve">for</w:t>
      </w:r>
      <w:r>
        <w:t xml:space="preserve"> </w:t>
      </w:r>
      <w:r>
        <w:t xml:space="preserve">Second</w:t>
      </w:r>
      <w:r>
        <w:t xml:space="preserve"> </w:t>
      </w:r>
      <w:r>
        <w:t xml:space="preserve">Language</w:t>
      </w:r>
      <w:r>
        <w:t xml:space="preserve"> </w:t>
      </w:r>
      <w:r>
        <w:t xml:space="preserve">Acquisition</w:t>
      </w:r>
      <w:r>
        <w:t xml:space="preserve">.</w:t>
      </w:r>
      <w:r>
        <w:t xml:space="preserve"> </w:t>
      </w:r>
      <w:r>
        <w:rPr>
          <w:i/>
          <w:iCs/>
        </w:rPr>
        <w:t xml:space="preserve">Revista Electrónica de Lingüística Aplicada</w:t>
      </w:r>
      <w:r>
        <w:t xml:space="preserve">,</w:t>
      </w:r>
      <w:r>
        <w:t xml:space="preserve"> </w:t>
      </w:r>
      <w:r>
        <w:rPr>
          <w:i/>
          <w:iCs/>
        </w:rPr>
        <w:t xml:space="preserve">16</w:t>
      </w:r>
      <w:r>
        <w:t xml:space="preserve">(1), 23–42. Retrieved from</w:t>
      </w:r>
      <w:r>
        <w:t xml:space="preserve"> </w:t>
      </w:r>
      <w:hyperlink r:id="rId40">
        <w:r>
          <w:rPr>
            <w:rStyle w:val="Hyperlink"/>
          </w:rPr>
          <w:t xml:space="preserve">https://matrix.aesla.org.es/RAEL/article/view/313</w:t>
        </w:r>
      </w:hyperlink>
    </w:p>
    <w:bookmarkEnd w:id="41"/>
    <w:bookmarkStart w:id="43" w:name="ref-amengual_2012"/>
    <w:p>
      <w:pPr>
        <w:pStyle w:val="Bibliography"/>
      </w:pPr>
      <w:r>
        <w:t xml:space="preserve">Amengual, M. (2012). Interlingual influence in bilingual speech:</w:t>
      </w:r>
      <w:r>
        <w:t xml:space="preserve"> </w:t>
      </w:r>
      <w:r>
        <w:t xml:space="preserve">Cognate</w:t>
      </w:r>
      <w:r>
        <w:t xml:space="preserve"> </w:t>
      </w:r>
      <w:r>
        <w:t xml:space="preserve">status effect in a continuum of bilingualism.</w:t>
      </w:r>
      <w:r>
        <w:t xml:space="preserve"> </w:t>
      </w:r>
      <w:r>
        <w:rPr>
          <w:i/>
          <w:iCs/>
        </w:rPr>
        <w:t xml:space="preserve">Bilingualism: Language and Cognition</w:t>
      </w:r>
      <w:r>
        <w:t xml:space="preserve">,</w:t>
      </w:r>
      <w:r>
        <w:t xml:space="preserve"> </w:t>
      </w:r>
      <w:r>
        <w:rPr>
          <w:i/>
          <w:iCs/>
        </w:rPr>
        <w:t xml:space="preserve">15</w:t>
      </w:r>
      <w:r>
        <w:t xml:space="preserve">(3), 517–530. http://doi.org/</w:t>
      </w:r>
      <w:hyperlink r:id="rId42">
        <w:r>
          <w:rPr>
            <w:rStyle w:val="Hyperlink"/>
          </w:rPr>
          <w:t xml:space="preserve">10.1017/S1366728911000460</w:t>
        </w:r>
      </w:hyperlink>
    </w:p>
    <w:bookmarkEnd w:id="43"/>
    <w:bookmarkStart w:id="45" w:name="ref-arana_etal_2022"/>
    <w:p>
      <w:pPr>
        <w:pStyle w:val="Bibliography"/>
      </w:pPr>
      <w:r>
        <w:t xml:space="preserve">Arana, S. L., Oliveira, H. M., Fernandes, A. I., Soares, A. P., &amp; Comesaña, M. (2022). The cognate facilitation effect depends on the presence of identical cognates.</w:t>
      </w:r>
      <w:r>
        <w:t xml:space="preserve"> </w:t>
      </w:r>
      <w:r>
        <w:rPr>
          <w:i/>
          <w:iCs/>
        </w:rPr>
        <w:t xml:space="preserve">Bilingualism: Language and Cognition</w:t>
      </w:r>
      <w:r>
        <w:t xml:space="preserve">,</w:t>
      </w:r>
      <w:r>
        <w:t xml:space="preserve"> </w:t>
      </w:r>
      <w:r>
        <w:rPr>
          <w:i/>
          <w:iCs/>
        </w:rPr>
        <w:t xml:space="preserve">25</w:t>
      </w:r>
      <w:r>
        <w:t xml:space="preserve">(4), 660–678. http://doi.org/</w:t>
      </w:r>
      <w:hyperlink r:id="rId44">
        <w:r>
          <w:rPr>
            <w:rStyle w:val="Hyperlink"/>
          </w:rPr>
          <w:t xml:space="preserve">10.1017/S1366728922000062</w:t>
        </w:r>
      </w:hyperlink>
    </w:p>
    <w:bookmarkEnd w:id="45"/>
    <w:bookmarkStart w:id="47" w:name="ref-bardel_falk_2007"/>
    <w:p>
      <w:pPr>
        <w:pStyle w:val="Bibliography"/>
      </w:pPr>
      <w:r>
        <w:t xml:space="preserve">Bardel, C., &amp; Falk, Y. (2007). The role of the second language in third language acquisition:</w:t>
      </w:r>
      <w:r>
        <w:t xml:space="preserve"> </w:t>
      </w:r>
      <w:r>
        <w:t xml:space="preserve">The</w:t>
      </w:r>
      <w:r>
        <w:t xml:space="preserve"> </w:t>
      </w:r>
      <w:r>
        <w:t xml:space="preserve">case of</w:t>
      </w:r>
      <w:r>
        <w:t xml:space="preserve"> </w:t>
      </w:r>
      <w:r>
        <w:t xml:space="preserve">Germanic</w:t>
      </w:r>
      <w:r>
        <w:t xml:space="preserve"> </w:t>
      </w:r>
      <w:r>
        <w:t xml:space="preserve">syntax.</w:t>
      </w:r>
      <w:r>
        <w:t xml:space="preserve"> </w:t>
      </w:r>
      <w:r>
        <w:rPr>
          <w:i/>
          <w:iCs/>
        </w:rPr>
        <w:t xml:space="preserve">Second Language Research SAGE Second Language Research</w:t>
      </w:r>
      <w:r>
        <w:t xml:space="preserve">,</w:t>
      </w:r>
      <w:r>
        <w:t xml:space="preserve"> </w:t>
      </w:r>
      <w:r>
        <w:rPr>
          <w:i/>
          <w:iCs/>
        </w:rPr>
        <w:t xml:space="preserve">234</w:t>
      </w:r>
      <w:r>
        <w:t xml:space="preserve">, 459–484. http://doi.org/</w:t>
      </w:r>
      <w:hyperlink r:id="rId46">
        <w:r>
          <w:rPr>
            <w:rStyle w:val="Hyperlink"/>
          </w:rPr>
          <w:t xml:space="preserve">10.1177/0267658307080557</w:t>
        </w:r>
      </w:hyperlink>
    </w:p>
    <w:bookmarkEnd w:id="47"/>
    <w:bookmarkStart w:id="49" w:name="ref-bardel_falk_2012"/>
    <w:p>
      <w:pPr>
        <w:pStyle w:val="Bibliography"/>
      </w:pPr>
      <w:r>
        <w:t xml:space="preserve">Bardel, C., &amp; Falk, Y. (2012). The</w:t>
      </w:r>
      <w:r>
        <w:t xml:space="preserve"> </w:t>
      </w:r>
      <w:r>
        <w:t xml:space="preserve">L2</w:t>
      </w:r>
      <w:r>
        <w:t xml:space="preserve"> </w:t>
      </w:r>
      <w:r>
        <w:t xml:space="preserve">status factor and the declarative/procedural distinction. In (pp. 61–78). http://doi.org/</w:t>
      </w:r>
      <w:hyperlink r:id="rId48">
        <w:r>
          <w:rPr>
            <w:rStyle w:val="Hyperlink"/>
          </w:rPr>
          <w:t xml:space="preserve">10.1075/sibil.46.06bar</w:t>
        </w:r>
      </w:hyperlink>
    </w:p>
    <w:bookmarkEnd w:id="49"/>
    <w:bookmarkStart w:id="51" w:name="ref-bartolotti_marian_2017"/>
    <w:p>
      <w:pPr>
        <w:pStyle w:val="Bibliography"/>
      </w:pPr>
      <w:r>
        <w:t xml:space="preserve">Bartolotti, J., &amp; Marian, V. (2017). Bilinguals’</w:t>
      </w:r>
      <w:r>
        <w:t xml:space="preserve"> </w:t>
      </w:r>
      <w:r>
        <w:t xml:space="preserve">Existing</w:t>
      </w:r>
      <w:r>
        <w:t xml:space="preserve"> </w:t>
      </w:r>
      <w:r>
        <w:t xml:space="preserve">Languages</w:t>
      </w:r>
      <w:r>
        <w:t xml:space="preserve"> </w:t>
      </w:r>
      <w:r>
        <w:t xml:space="preserve">Benefit</w:t>
      </w:r>
      <w:r>
        <w:t xml:space="preserve"> </w:t>
      </w:r>
      <w:r>
        <w:t xml:space="preserve">Vocabulary</w:t>
      </w:r>
      <w:r>
        <w:t xml:space="preserve"> </w:t>
      </w:r>
      <w:r>
        <w:t xml:space="preserve">Learning</w:t>
      </w:r>
      <w:r>
        <w:t xml:space="preserve"> </w:t>
      </w:r>
      <w:r>
        <w:t xml:space="preserve">in a</w:t>
      </w:r>
      <w:r>
        <w:t xml:space="preserve"> </w:t>
      </w:r>
      <w:r>
        <w:t xml:space="preserve">Third</w:t>
      </w:r>
      <w:r>
        <w:t xml:space="preserve"> </w:t>
      </w:r>
      <w:r>
        <w:t xml:space="preserve">Language</w:t>
      </w:r>
      <w:r>
        <w:t xml:space="preserve">.</w:t>
      </w:r>
      <w:r>
        <w:t xml:space="preserve"> </w:t>
      </w:r>
      <w:r>
        <w:rPr>
          <w:i/>
          <w:iCs/>
        </w:rPr>
        <w:t xml:space="preserve">Language Learning</w:t>
      </w:r>
      <w:r>
        <w:t xml:space="preserve">,</w:t>
      </w:r>
      <w:r>
        <w:t xml:space="preserve"> </w:t>
      </w:r>
      <w:r>
        <w:rPr>
          <w:i/>
          <w:iCs/>
        </w:rPr>
        <w:t xml:space="preserve">67</w:t>
      </w:r>
      <w:r>
        <w:t xml:space="preserve">(1), 110–140. http://doi.org/</w:t>
      </w:r>
      <w:hyperlink r:id="rId50">
        <w:r>
          <w:rPr>
            <w:rStyle w:val="Hyperlink"/>
          </w:rPr>
          <w:t xml:space="preserve">10.1111/lang.12200</w:t>
        </w:r>
      </w:hyperlink>
    </w:p>
    <w:bookmarkEnd w:id="51"/>
    <w:bookmarkStart w:id="53" w:name="ref-carrasco-ortiz_etal_2021"/>
    <w:p>
      <w:pPr>
        <w:pStyle w:val="Bibliography"/>
      </w:pPr>
      <w:r>
        <w:t xml:space="preserve">Carrasco-Ortiz, H., Amengual, M., &amp; Gries, S. T. (2021). Cross-language effects of phonological and orthographic similarity in cognate word recognition:</w:t>
      </w:r>
      <w:r>
        <w:t xml:space="preserve"> </w:t>
      </w:r>
      <w:r>
        <w:t xml:space="preserve">The</w:t>
      </w:r>
      <w:r>
        <w:t xml:space="preserve"> </w:t>
      </w:r>
      <w:r>
        <w:t xml:space="preserve">role of language dominance.</w:t>
      </w:r>
      <w:r>
        <w:t xml:space="preserve"> </w:t>
      </w:r>
      <w:r>
        <w:rPr>
          <w:i/>
          <w:iCs/>
        </w:rPr>
        <w:t xml:space="preserve">Linguistic Approaches to Bilingualism</w:t>
      </w:r>
      <w:r>
        <w:t xml:space="preserve">,</w:t>
      </w:r>
      <w:r>
        <w:t xml:space="preserve"> </w:t>
      </w:r>
      <w:r>
        <w:rPr>
          <w:i/>
          <w:iCs/>
        </w:rPr>
        <w:t xml:space="preserve">11</w:t>
      </w:r>
      <w:r>
        <w:t xml:space="preserve">(3), 389–417. http://doi.org/</w:t>
      </w:r>
      <w:hyperlink r:id="rId52">
        <w:r>
          <w:rPr>
            <w:rStyle w:val="Hyperlink"/>
          </w:rPr>
          <w:t xml:space="preserve">10.1075/lab.18095.car</w:t>
        </w:r>
      </w:hyperlink>
    </w:p>
    <w:bookmarkEnd w:id="53"/>
    <w:bookmarkStart w:id="55" w:name="ref-comesana_etal_2015"/>
    <w:p>
      <w:pPr>
        <w:pStyle w:val="Bibliography"/>
      </w:pPr>
      <w:r>
        <w:t xml:space="preserve">Comesaña, M., Ferré, P., Romero, J., Guasch, M., Soares, A. P., &amp; García-Chico, T. (2015). Facilitative effect of cognate words vanishes when reducing the orthographic overlap:</w:t>
      </w:r>
      <w:r>
        <w:t xml:space="preserve"> </w:t>
      </w:r>
      <w:r>
        <w:t xml:space="preserve">The</w:t>
      </w:r>
      <w:r>
        <w:t xml:space="preserve"> </w:t>
      </w:r>
      <w:r>
        <w:t xml:space="preserve">role of stimuli list composition.</w:t>
      </w:r>
      <w:r>
        <w:t xml:space="preserve"> </w:t>
      </w:r>
      <w:r>
        <w:rPr>
          <w:i/>
          <w:iCs/>
        </w:rPr>
        <w:t xml:space="preserve">Journal of Experimental Psychology. Learning, Memory, and Cognition</w:t>
      </w:r>
      <w:r>
        <w:t xml:space="preserve">,</w:t>
      </w:r>
      <w:r>
        <w:t xml:space="preserve"> </w:t>
      </w:r>
      <w:r>
        <w:rPr>
          <w:i/>
          <w:iCs/>
        </w:rPr>
        <w:t xml:space="preserve">41</w:t>
      </w:r>
      <w:r>
        <w:t xml:space="preserve">(3), 614–635. http://doi.org/</w:t>
      </w:r>
      <w:hyperlink r:id="rId54">
        <w:r>
          <w:rPr>
            <w:rStyle w:val="Hyperlink"/>
          </w:rPr>
          <w:t xml:space="preserve">10.1037/xlm0000065</w:t>
        </w:r>
      </w:hyperlink>
    </w:p>
    <w:bookmarkEnd w:id="55"/>
    <w:bookmarkStart w:id="57" w:name="ref-cop_etal_2015"/>
    <w:p>
      <w:pPr>
        <w:pStyle w:val="Bibliography"/>
      </w:pPr>
      <w:r>
        <w:t xml:space="preserve">Cop, U., Drieghe, D., &amp; Duyck, W. (2015). Eye</w:t>
      </w:r>
      <w:r>
        <w:t xml:space="preserve"> </w:t>
      </w:r>
      <w:r>
        <w:t xml:space="preserve">Movement</w:t>
      </w:r>
      <w:r>
        <w:t xml:space="preserve"> </w:t>
      </w:r>
      <w:r>
        <w:t xml:space="preserve">Patterns</w:t>
      </w:r>
      <w:r>
        <w:t xml:space="preserve"> </w:t>
      </w:r>
      <w:r>
        <w:t xml:space="preserve">in</w:t>
      </w:r>
      <w:r>
        <w:t xml:space="preserve"> </w:t>
      </w:r>
      <w:r>
        <w:t xml:space="preserve">Natural</w:t>
      </w:r>
      <w:r>
        <w:t xml:space="preserve"> </w:t>
      </w:r>
      <w:r>
        <w:t xml:space="preserve">Reading</w:t>
      </w:r>
      <w:r>
        <w:t xml:space="preserve">:</w:t>
      </w:r>
      <w:r>
        <w:t xml:space="preserve"> </w:t>
      </w:r>
      <w:r>
        <w:t xml:space="preserve">A</w:t>
      </w:r>
      <w:r>
        <w:t xml:space="preserve"> </w:t>
      </w:r>
      <w:r>
        <w:t xml:space="preserve">Comparison</w:t>
      </w:r>
      <w:r>
        <w:t xml:space="preserve"> </w:t>
      </w:r>
      <w:r>
        <w:t xml:space="preserve">of</w:t>
      </w:r>
      <w:r>
        <w:t xml:space="preserve"> </w:t>
      </w:r>
      <w:r>
        <w:t xml:space="preserve">Monolingual</w:t>
      </w:r>
      <w:r>
        <w:t xml:space="preserve"> </w:t>
      </w:r>
      <w:r>
        <w:t xml:space="preserve">and</w:t>
      </w:r>
      <w:r>
        <w:t xml:space="preserve"> </w:t>
      </w:r>
      <w:r>
        <w:t xml:space="preserve">Bilingual</w:t>
      </w:r>
      <w:r>
        <w:t xml:space="preserve"> </w:t>
      </w:r>
      <w:r>
        <w:t xml:space="preserve">Reading</w:t>
      </w:r>
      <w:r>
        <w:t xml:space="preserve"> </w:t>
      </w:r>
      <w:r>
        <w:t xml:space="preserve">of a</w:t>
      </w:r>
      <w:r>
        <w:t xml:space="preserve"> </w:t>
      </w:r>
      <w:r>
        <w:t xml:space="preserve">Novel</w:t>
      </w:r>
      <w:r>
        <w:t xml:space="preserve">.</w:t>
      </w:r>
      <w:r>
        <w:t xml:space="preserve"> </w:t>
      </w:r>
      <w:r>
        <w:rPr>
          <w:i/>
          <w:iCs/>
        </w:rPr>
        <w:t xml:space="preserve">PLOS ONE</w:t>
      </w:r>
      <w:r>
        <w:t xml:space="preserve">,</w:t>
      </w:r>
      <w:r>
        <w:t xml:space="preserve"> </w:t>
      </w:r>
      <w:r>
        <w:rPr>
          <w:i/>
          <w:iCs/>
        </w:rPr>
        <w:t xml:space="preserve">10</w:t>
      </w:r>
      <w:r>
        <w:t xml:space="preserve">(8), e0134008. http://doi.org/</w:t>
      </w:r>
      <w:hyperlink r:id="rId56">
        <w:r>
          <w:rPr>
            <w:rStyle w:val="Hyperlink"/>
          </w:rPr>
          <w:t xml:space="preserve">10.1371/journal.pone.0134008</w:t>
        </w:r>
      </w:hyperlink>
    </w:p>
    <w:bookmarkEnd w:id="57"/>
    <w:bookmarkStart w:id="59" w:name="ref-cornut_etal_2022"/>
    <w:p>
      <w:pPr>
        <w:pStyle w:val="Bibliography"/>
      </w:pPr>
      <w:r>
        <w:t xml:space="preserve">Cornut, C., Mahé, G., &amp; Casalis, S. (2022). L2 word recognition in</w:t>
      </w:r>
      <w:r>
        <w:t xml:space="preserve"> </w:t>
      </w:r>
      <w:r>
        <w:t xml:space="preserve">French</w:t>
      </w:r>
      <w:r>
        <w:t xml:space="preserve">–</w:t>
      </w:r>
      <w:r>
        <w:t xml:space="preserve">English</w:t>
      </w:r>
      <w:r>
        <w:t xml:space="preserve"> </w:t>
      </w:r>
      <w:r>
        <w:t xml:space="preserve">late bilinguals:</w:t>
      </w:r>
      <w:r>
        <w:t xml:space="preserve"> </w:t>
      </w:r>
      <w:r>
        <w:t xml:space="preserve">Does</w:t>
      </w:r>
      <w:r>
        <w:t xml:space="preserve"> </w:t>
      </w:r>
      <w:r>
        <w:t xml:space="preserve">modality matter?</w:t>
      </w:r>
      <w:r>
        <w:t xml:space="preserve"> </w:t>
      </w:r>
      <w:r>
        <w:rPr>
          <w:i/>
          <w:iCs/>
        </w:rPr>
        <w:t xml:space="preserve">Bilingualism: Language and Cognition</w:t>
      </w:r>
      <w:r>
        <w:t xml:space="preserve">,</w:t>
      </w:r>
      <w:r>
        <w:t xml:space="preserve"> </w:t>
      </w:r>
      <w:r>
        <w:rPr>
          <w:i/>
          <w:iCs/>
        </w:rPr>
        <w:t xml:space="preserve">25</w:t>
      </w:r>
      <w:r>
        <w:t xml:space="preserve">(1), 121–136. http://doi.org/</w:t>
      </w:r>
      <w:hyperlink r:id="rId58">
        <w:r>
          <w:rPr>
            <w:rStyle w:val="Hyperlink"/>
          </w:rPr>
          <w:t xml:space="preserve">10.1017/S1366728921000511</w:t>
        </w:r>
      </w:hyperlink>
    </w:p>
    <w:bookmarkEnd w:id="59"/>
    <w:bookmarkStart w:id="61" w:name="ref-costa_etal_2023"/>
    <w:p>
      <w:pPr>
        <w:pStyle w:val="Bibliography"/>
      </w:pPr>
      <w:r>
        <w:t xml:space="preserve">Costa, A. S., Comesaña, M., &amp; Soares, A. P. (2023).</w:t>
      </w:r>
      <w:r>
        <w:t xml:space="preserve"> </w:t>
      </w:r>
      <w:r>
        <w:t xml:space="preserve">PHOR</w:t>
      </w:r>
      <w:r>
        <w:t xml:space="preserve">-in-</w:t>
      </w:r>
      <w:r>
        <w:t xml:space="preserve">One</w:t>
      </w:r>
      <w:r>
        <w:t xml:space="preserve">:</w:t>
      </w:r>
      <w:r>
        <w:t xml:space="preserve"> </w:t>
      </w:r>
      <w:r>
        <w:t xml:space="preserve">A</w:t>
      </w:r>
      <w:r>
        <w:t xml:space="preserve"> </w:t>
      </w:r>
      <w:r>
        <w:t xml:space="preserve">multilingual lexical database with</w:t>
      </w:r>
      <w:r>
        <w:t xml:space="preserve"> </w:t>
      </w:r>
      <w:r>
        <w:t xml:space="preserve">PHonological</w:t>
      </w:r>
      <w:r>
        <w:t xml:space="preserve">,</w:t>
      </w:r>
      <w:r>
        <w:t xml:space="preserve"> </w:t>
      </w:r>
      <w:r>
        <w:t xml:space="preserve">ORthographic</w:t>
      </w:r>
      <w:r>
        <w:t xml:space="preserve"> </w:t>
      </w:r>
      <w:r>
        <w:t xml:space="preserve">and</w:t>
      </w:r>
      <w:r>
        <w:t xml:space="preserve"> </w:t>
      </w:r>
      <w:r>
        <w:t xml:space="preserve">PHonographic</w:t>
      </w:r>
      <w:r>
        <w:t xml:space="preserve"> </w:t>
      </w:r>
      <w:r>
        <w:t xml:space="preserve">word similarity estimates in four languages.</w:t>
      </w:r>
      <w:r>
        <w:t xml:space="preserve"> </w:t>
      </w:r>
      <w:r>
        <w:rPr>
          <w:i/>
          <w:iCs/>
        </w:rPr>
        <w:t xml:space="preserve">Behavior Research Methods</w:t>
      </w:r>
      <w:r>
        <w:t xml:space="preserve">,</w:t>
      </w:r>
      <w:r>
        <w:t xml:space="preserve"> </w:t>
      </w:r>
      <w:r>
        <w:rPr>
          <w:i/>
          <w:iCs/>
        </w:rPr>
        <w:t xml:space="preserve">55</w:t>
      </w:r>
      <w:r>
        <w:t xml:space="preserve">(7), 3699–3725. http://doi.org/</w:t>
      </w:r>
      <w:hyperlink r:id="rId60">
        <w:r>
          <w:rPr>
            <w:rStyle w:val="Hyperlink"/>
          </w:rPr>
          <w:t xml:space="preserve">10.3758/s13428-022-01985-3</w:t>
        </w:r>
      </w:hyperlink>
    </w:p>
    <w:bookmarkEnd w:id="61"/>
    <w:bookmarkStart w:id="62" w:name="ref-costa_etal_2000"/>
    <w:p>
      <w:pPr>
        <w:pStyle w:val="Bibliography"/>
      </w:pPr>
      <w:r>
        <w:t xml:space="preserve">Costa, A., Caramazza, A., &amp; Sebastian-Galles, N. (2000). The</w:t>
      </w:r>
      <w:r>
        <w:t xml:space="preserve"> </w:t>
      </w:r>
      <w:r>
        <w:t xml:space="preserve">Cognate</w:t>
      </w:r>
      <w:r>
        <w:t xml:space="preserve"> </w:t>
      </w:r>
      <w:r>
        <w:t xml:space="preserve">Facilitation</w:t>
      </w:r>
      <w:r>
        <w:t xml:space="preserve"> </w:t>
      </w:r>
      <w:r>
        <w:t xml:space="preserve">Effect</w:t>
      </w:r>
      <w:r>
        <w:t xml:space="preserve">:</w:t>
      </w:r>
      <w:r>
        <w:t xml:space="preserve"> </w:t>
      </w:r>
      <w:r>
        <w:t xml:space="preserve">Implications</w:t>
      </w:r>
      <w:r>
        <w:t xml:space="preserve"> </w:t>
      </w:r>
      <w:r>
        <w:t xml:space="preserve">for</w:t>
      </w:r>
      <w:r>
        <w:t xml:space="preserve"> </w:t>
      </w:r>
      <w:r>
        <w:t xml:space="preserve">Models</w:t>
      </w:r>
      <w:r>
        <w:t xml:space="preserve"> </w:t>
      </w:r>
      <w:r>
        <w:t xml:space="preserve">of</w:t>
      </w:r>
      <w:r>
        <w:t xml:space="preserve"> </w:t>
      </w:r>
      <w:r>
        <w:t xml:space="preserve">Lexical</w:t>
      </w:r>
      <w:r>
        <w:t xml:space="preserve"> </w:t>
      </w:r>
      <w:r>
        <w:t xml:space="preserve">Access</w:t>
      </w:r>
      <w:r>
        <w:t xml:space="preserve">.</w:t>
      </w:r>
    </w:p>
    <w:bookmarkEnd w:id="62"/>
    <w:bookmarkStart w:id="63" w:name="ref-cuetos_etal_2011"/>
    <w:p>
      <w:pPr>
        <w:pStyle w:val="Bibliography"/>
      </w:pPr>
      <w:r>
        <w:t xml:space="preserve">Cuetos, F., Glez-Nosti, M., Barbón, A., &amp; Brysbaert, M. (2011).</w:t>
      </w:r>
      <w:r>
        <w:t xml:space="preserve"> </w:t>
      </w:r>
      <w:r>
        <w:t xml:space="preserve">SUBTLEX</w:t>
      </w:r>
      <w:r>
        <w:t xml:space="preserve">-</w:t>
      </w:r>
      <w:r>
        <w:t xml:space="preserve">ESP</w:t>
      </w:r>
      <w:r>
        <w:t xml:space="preserve">:</w:t>
      </w:r>
      <w:r>
        <w:t xml:space="preserve"> </w:t>
      </w:r>
      <w:r>
        <w:t xml:space="preserve">Spanish</w:t>
      </w:r>
      <w:r>
        <w:t xml:space="preserve"> </w:t>
      </w:r>
      <w:r>
        <w:t xml:space="preserve">word frequencies based on film subtitles.</w:t>
      </w:r>
      <w:r>
        <w:t xml:space="preserve"> </w:t>
      </w:r>
      <w:r>
        <w:rPr>
          <w:i/>
          <w:iCs/>
        </w:rPr>
        <w:t xml:space="preserve">Psicológica</w:t>
      </w:r>
      <w:r>
        <w:t xml:space="preserve">,</w:t>
      </w:r>
      <w:r>
        <w:t xml:space="preserve"> </w:t>
      </w:r>
      <w:r>
        <w:rPr>
          <w:i/>
          <w:iCs/>
        </w:rPr>
        <w:t xml:space="preserve">32</w:t>
      </w:r>
      <w:r>
        <w:t xml:space="preserve">(2), 133–143.</w:t>
      </w:r>
    </w:p>
    <w:bookmarkEnd w:id="63"/>
    <w:bookmarkStart w:id="65" w:name="ref-de_angelis_2007"/>
    <w:p>
      <w:pPr>
        <w:pStyle w:val="Bibliography"/>
      </w:pPr>
      <w:r>
        <w:t xml:space="preserve">De Angelis, G. (2007).</w:t>
      </w:r>
      <w:r>
        <w:t xml:space="preserve"> </w:t>
      </w:r>
      <w:r>
        <w:rPr>
          <w:i/>
          <w:iCs/>
        </w:rPr>
        <w:t xml:space="preserve">Third or</w:t>
      </w:r>
      <w:r>
        <w:rPr>
          <w:i/>
          <w:iCs/>
        </w:rPr>
        <w:t xml:space="preserve"> </w:t>
      </w:r>
      <w:r>
        <w:rPr>
          <w:i/>
          <w:iCs/>
        </w:rPr>
        <w:t xml:space="preserve">Additional</w:t>
      </w:r>
      <w:r>
        <w:rPr>
          <w:i/>
          <w:iCs/>
        </w:rPr>
        <w:t xml:space="preserve"> </w:t>
      </w:r>
      <w:r>
        <w:rPr>
          <w:i/>
          <w:iCs/>
        </w:rPr>
        <w:t xml:space="preserve">Language</w:t>
      </w:r>
      <w:r>
        <w:rPr>
          <w:i/>
          <w:iCs/>
        </w:rPr>
        <w:t xml:space="preserve"> </w:t>
      </w:r>
      <w:r>
        <w:rPr>
          <w:i/>
          <w:iCs/>
        </w:rPr>
        <w:t xml:space="preserve">Acquisition</w:t>
      </w:r>
      <w:r>
        <w:t xml:space="preserve">. (D. Singleton, Ed.). Multilingual Matters &amp; Channel View Publications. http://doi.org/</w:t>
      </w:r>
      <w:hyperlink r:id="rId64">
        <w:r>
          <w:rPr>
            <w:rStyle w:val="Hyperlink"/>
          </w:rPr>
          <w:t xml:space="preserve">10.2307/jj.27710839</w:t>
        </w:r>
      </w:hyperlink>
    </w:p>
    <w:bookmarkEnd w:id="65"/>
    <w:bookmarkStart w:id="67" w:name="ref-dijkstra_etal_2010"/>
    <w:p>
      <w:pPr>
        <w:pStyle w:val="Bibliography"/>
      </w:pPr>
      <w:r>
        <w:t xml:space="preserve">Dijkstra, T., Miwa, K., Brummelhuis, B., Sappelli, M., &amp; Baayen, H. (2010). How cross-language similarity and task demands affect cognate recognition.</w:t>
      </w:r>
      <w:r>
        <w:t xml:space="preserve"> </w:t>
      </w:r>
      <w:r>
        <w:rPr>
          <w:i/>
          <w:iCs/>
        </w:rPr>
        <w:t xml:space="preserve">Journal of Memory and Language</w:t>
      </w:r>
      <w:r>
        <w:t xml:space="preserve">,</w:t>
      </w:r>
      <w:r>
        <w:t xml:space="preserve"> </w:t>
      </w:r>
      <w:r>
        <w:rPr>
          <w:i/>
          <w:iCs/>
        </w:rPr>
        <w:t xml:space="preserve">62</w:t>
      </w:r>
      <w:r>
        <w:t xml:space="preserve">(3), 284–301. http://doi.org/</w:t>
      </w:r>
      <w:hyperlink r:id="rId66">
        <w:r>
          <w:rPr>
            <w:rStyle w:val="Hyperlink"/>
          </w:rPr>
          <w:t xml:space="preserve">10.1016/j.jml.2009.12.003</w:t>
        </w:r>
      </w:hyperlink>
    </w:p>
    <w:bookmarkEnd w:id="67"/>
    <w:bookmarkStart w:id="69" w:name="ref-dijkstra_vanheuven_2002"/>
    <w:p>
      <w:pPr>
        <w:pStyle w:val="Bibliography"/>
      </w:pPr>
      <w:r>
        <w:t xml:space="preserve">Dijkstra, T., &amp; Van Heuven, W. J. B. (2002). The architecture of the bilingual word recognition system:</w:t>
      </w:r>
      <w:r>
        <w:t xml:space="preserve"> </w:t>
      </w:r>
      <w:r>
        <w:t xml:space="preserve">From</w:t>
      </w:r>
      <w:r>
        <w:t xml:space="preserve"> </w:t>
      </w:r>
      <w:r>
        <w:t xml:space="preserve">identification to decision.</w:t>
      </w:r>
      <w:r>
        <w:t xml:space="preserve"> </w:t>
      </w:r>
      <w:r>
        <w:rPr>
          <w:i/>
          <w:iCs/>
        </w:rPr>
        <w:t xml:space="preserve">Bilingualism: Language and Cognition</w:t>
      </w:r>
      <w:r>
        <w:t xml:space="preserve">,</w:t>
      </w:r>
      <w:r>
        <w:t xml:space="preserve"> </w:t>
      </w:r>
      <w:r>
        <w:rPr>
          <w:i/>
          <w:iCs/>
        </w:rPr>
        <w:t xml:space="preserve">5</w:t>
      </w:r>
      <w:r>
        <w:t xml:space="preserve">(3), 175–197. http://doi.org/</w:t>
      </w:r>
      <w:hyperlink r:id="rId68">
        <w:r>
          <w:rPr>
            <w:rStyle w:val="Hyperlink"/>
          </w:rPr>
          <w:t xml:space="preserve">10.1017/S1366728902003012</w:t>
        </w:r>
      </w:hyperlink>
    </w:p>
    <w:bookmarkEnd w:id="69"/>
    <w:bookmarkStart w:id="70" w:name="ref-Dijkstra_etal_2018"/>
    <w:p>
      <w:pPr>
        <w:pStyle w:val="Bibliography"/>
      </w:pPr>
      <w:r>
        <w:t xml:space="preserve">Dijkstra, T., Wahl, A., Buytenhuijs, F., Van Halem, N., Al-Jibouri, Z., De Korte, M., &amp; Rekké, S. (2018). Multilink: A computational model for bilingual word recognition and word translation.</w:t>
      </w:r>
      <w:r>
        <w:t xml:space="preserve"> </w:t>
      </w:r>
      <w:r>
        <w:rPr>
          <w:i/>
          <w:iCs/>
        </w:rPr>
        <w:t xml:space="preserve">Bilingualism: Language and Cognition</w:t>
      </w:r>
      <w:r>
        <w:t xml:space="preserve">,</w:t>
      </w:r>
      <w:r>
        <w:t xml:space="preserve"> </w:t>
      </w:r>
      <w:r>
        <w:rPr>
          <w:i/>
          <w:iCs/>
        </w:rPr>
        <w:t xml:space="preserve">22</w:t>
      </w:r>
      <w:r>
        <w:t xml:space="preserve">(4), 657–679.</w:t>
      </w:r>
    </w:p>
    <w:bookmarkEnd w:id="70"/>
    <w:bookmarkStart w:id="72" w:name="ref-ecke_2015"/>
    <w:p>
      <w:pPr>
        <w:pStyle w:val="Bibliography"/>
      </w:pPr>
      <w:r>
        <w:t xml:space="preserve">Ecke, P. (2015). Parasitic vocabulary acquisition, cross-linguistic influence, and lexical retrieval in multilinguals.</w:t>
      </w:r>
      <w:r>
        <w:t xml:space="preserve"> </w:t>
      </w:r>
      <w:r>
        <w:rPr>
          <w:i/>
          <w:iCs/>
        </w:rPr>
        <w:t xml:space="preserve">Bilingualism: Language and Cognition</w:t>
      </w:r>
      <w:r>
        <w:t xml:space="preserve">,</w:t>
      </w:r>
      <w:r>
        <w:t xml:space="preserve"> </w:t>
      </w:r>
      <w:r>
        <w:rPr>
          <w:i/>
          <w:iCs/>
        </w:rPr>
        <w:t xml:space="preserve">18</w:t>
      </w:r>
      <w:r>
        <w:t xml:space="preserve">(2), 145–162. http://doi.org/</w:t>
      </w:r>
      <w:hyperlink r:id="rId71">
        <w:r>
          <w:rPr>
            <w:rStyle w:val="Hyperlink"/>
          </w:rPr>
          <w:t xml:space="preserve">10.1017/S1366728913000722</w:t>
        </w:r>
      </w:hyperlink>
    </w:p>
    <w:bookmarkEnd w:id="72"/>
    <w:bookmarkStart w:id="74" w:name="ref-ellis_beaton_1993"/>
    <w:p>
      <w:pPr>
        <w:pStyle w:val="Bibliography"/>
      </w:pPr>
      <w:r>
        <w:t xml:space="preserve">Ellis, N., &amp; Beaton, A. (1993). Factors affecting the learning of foreign language vocabulary:</w:t>
      </w:r>
      <w:r>
        <w:t xml:space="preserve"> </w:t>
      </w:r>
      <w:r>
        <w:t xml:space="preserve">Imagery</w:t>
      </w:r>
      <w:r>
        <w:t xml:space="preserve"> </w:t>
      </w:r>
      <w:r>
        <w:t xml:space="preserve">keyword mediators and phonological short-term memory.</w:t>
      </w:r>
      <w:r>
        <w:t xml:space="preserve"> </w:t>
      </w:r>
      <w:r>
        <w:rPr>
          <w:i/>
          <w:iCs/>
        </w:rPr>
        <w:t xml:space="preserve">The Quarterly Journal of Experimental Psychology A: Human Experimental Psychology</w:t>
      </w:r>
      <w:r>
        <w:t xml:space="preserve">,</w:t>
      </w:r>
      <w:r>
        <w:t xml:space="preserve"> </w:t>
      </w:r>
      <w:r>
        <w:rPr>
          <w:i/>
          <w:iCs/>
        </w:rPr>
        <w:t xml:space="preserve">46A</w:t>
      </w:r>
      <w:r>
        <w:t xml:space="preserve">(3), 533–558. http://doi.org/</w:t>
      </w:r>
      <w:hyperlink r:id="rId73">
        <w:r>
          <w:rPr>
            <w:rStyle w:val="Hyperlink"/>
          </w:rPr>
          <w:t xml:space="preserve">10.1080/14640749308401062</w:t>
        </w:r>
      </w:hyperlink>
    </w:p>
    <w:bookmarkEnd w:id="74"/>
    <w:bookmarkStart w:id="76" w:name="ref-engemann_rodetzky_2024"/>
    <w:p>
      <w:pPr>
        <w:pStyle w:val="Bibliography"/>
      </w:pPr>
      <w:r>
        <w:t xml:space="preserve">Engemann, H., &amp; Radetzky, S. (2024). Cognate</w:t>
      </w:r>
      <w:r>
        <w:t xml:space="preserve"> </w:t>
      </w:r>
      <w:r>
        <w:t xml:space="preserve">Facilitation</w:t>
      </w:r>
      <w:r>
        <w:t xml:space="preserve"> </w:t>
      </w:r>
      <w:r>
        <w:t xml:space="preserve">in</w:t>
      </w:r>
      <w:r>
        <w:t xml:space="preserve"> </w:t>
      </w:r>
      <w:r>
        <w:t xml:space="preserve">Child</w:t>
      </w:r>
      <w:r>
        <w:t xml:space="preserve"> </w:t>
      </w:r>
      <w:r>
        <w:t xml:space="preserve">Third</w:t>
      </w:r>
      <w:r>
        <w:t xml:space="preserve"> </w:t>
      </w:r>
      <w:r>
        <w:t xml:space="preserve">Language</w:t>
      </w:r>
      <w:r>
        <w:t xml:space="preserve"> </w:t>
      </w:r>
      <w:r>
        <w:t xml:space="preserve">Learners</w:t>
      </w:r>
      <w:r>
        <w:t xml:space="preserve"> </w:t>
      </w:r>
      <w:r>
        <w:t xml:space="preserve">in a</w:t>
      </w:r>
      <w:r>
        <w:t xml:space="preserve"> </w:t>
      </w:r>
      <w:r>
        <w:t xml:space="preserve">Multilingual</w:t>
      </w:r>
      <w:r>
        <w:t xml:space="preserve"> </w:t>
      </w:r>
      <w:r>
        <w:t xml:space="preserve">Setting</w:t>
      </w:r>
      <w:r>
        <w:t xml:space="preserve">.</w:t>
      </w:r>
      <w:r>
        <w:t xml:space="preserve"> </w:t>
      </w:r>
      <w:r>
        <w:rPr>
          <w:i/>
          <w:iCs/>
        </w:rPr>
        <w:t xml:space="preserve">Languages</w:t>
      </w:r>
      <w:r>
        <w:t xml:space="preserve">,</w:t>
      </w:r>
      <w:r>
        <w:t xml:space="preserve"> </w:t>
      </w:r>
      <w:r>
        <w:rPr>
          <w:i/>
          <w:iCs/>
        </w:rPr>
        <w:t xml:space="preserve">9</w:t>
      </w:r>
      <w:r>
        <w:t xml:space="preserve">(10). http://doi.org/</w:t>
      </w:r>
      <w:hyperlink r:id="rId75">
        <w:r>
          <w:rPr>
            <w:rStyle w:val="Hyperlink"/>
          </w:rPr>
          <w:t xml:space="preserve">10.3390/languages9100310</w:t>
        </w:r>
      </w:hyperlink>
    </w:p>
    <w:bookmarkEnd w:id="76"/>
    <w:bookmarkStart w:id="78" w:name="ref-forys-nogala_etal_2026"/>
    <w:p>
      <w:pPr>
        <w:pStyle w:val="Bibliography"/>
      </w:pPr>
      <w:r>
        <w:t xml:space="preserve">Foryś-Nogala, M., Silva, B., Ambroziak, A., Broniś, O., Janczarska, A., Jastrzębski, B., &amp; Otwinowska, A. (2026). Cumulative</w:t>
      </w:r>
      <w:r>
        <w:t xml:space="preserve"> </w:t>
      </w:r>
      <w:r>
        <w:t xml:space="preserve">L1</w:t>
      </w:r>
      <w:r>
        <w:t xml:space="preserve">–</w:t>
      </w:r>
      <w:r>
        <w:t xml:space="preserve">L2</w:t>
      </w:r>
      <w:r>
        <w:t xml:space="preserve">–</w:t>
      </w:r>
      <w:r>
        <w:t xml:space="preserve">L3</w:t>
      </w:r>
      <w:r>
        <w:t xml:space="preserve"> </w:t>
      </w:r>
      <w:r>
        <w:t xml:space="preserve">lexical similarity versus</w:t>
      </w:r>
      <w:r>
        <w:t xml:space="preserve"> </w:t>
      </w:r>
      <w:r>
        <w:t xml:space="preserve">L2</w:t>
      </w:r>
      <w:r>
        <w:t xml:space="preserve">–</w:t>
      </w:r>
      <w:r>
        <w:t xml:space="preserve">L3</w:t>
      </w:r>
      <w:r>
        <w:t xml:space="preserve"> </w:t>
      </w:r>
      <w:r>
        <w:t xml:space="preserve">lexical similarity:</w:t>
      </w:r>
      <w:r>
        <w:t xml:space="preserve"> </w:t>
      </w:r>
      <w:r>
        <w:t xml:space="preserve">What</w:t>
      </w:r>
      <w:r>
        <w:t xml:space="preserve"> </w:t>
      </w:r>
      <w:r>
        <w:t xml:space="preserve">impacts learners’</w:t>
      </w:r>
      <w:r>
        <w:t xml:space="preserve"> </w:t>
      </w:r>
      <w:r>
        <w:t xml:space="preserve">L3</w:t>
      </w:r>
      <w:r>
        <w:t xml:space="preserve"> </w:t>
      </w:r>
      <w:r>
        <w:t xml:space="preserve">word knowledge and</w:t>
      </w:r>
      <w:r>
        <w:t xml:space="preserve"> </w:t>
      </w:r>
      <w:r>
        <w:t xml:space="preserve">L3</w:t>
      </w:r>
      <w:r>
        <w:t xml:space="preserve"> </w:t>
      </w:r>
      <w:r>
        <w:t xml:space="preserve">word processing more?</w:t>
      </w:r>
      <w:r>
        <w:t xml:space="preserve"> </w:t>
      </w:r>
      <w:r>
        <w:rPr>
          <w:i/>
          <w:iCs/>
        </w:rPr>
        <w:t xml:space="preserve">Bilingualism: Language and Cognition</w:t>
      </w:r>
      <w:r>
        <w:t xml:space="preserve">,</w:t>
      </w:r>
      <w:r>
        <w:t xml:space="preserve"> </w:t>
      </w:r>
      <w:r>
        <w:rPr>
          <w:i/>
          <w:iCs/>
        </w:rPr>
        <w:t xml:space="preserve">29</w:t>
      </w:r>
      <w:r>
        <w:t xml:space="preserve">(2), 367–380. http://doi.org/</w:t>
      </w:r>
      <w:hyperlink r:id="rId77">
        <w:r>
          <w:rPr>
            <w:rStyle w:val="Hyperlink"/>
          </w:rPr>
          <w:t xml:space="preserve">10.1017/S1366728925000410</w:t>
        </w:r>
      </w:hyperlink>
    </w:p>
    <w:bookmarkEnd w:id="78"/>
    <w:bookmarkStart w:id="80" w:name="ref-frances_etal_2021"/>
    <w:p>
      <w:pPr>
        <w:pStyle w:val="Bibliography"/>
      </w:pPr>
      <w:r>
        <w:t xml:space="preserve">Frances, C., Navarra-Barindelli, E., &amp; Martin, C. D. (2021). Inhibitory and facilitatory effects of phonological and orthographic similarity on</w:t>
      </w:r>
      <w:r>
        <w:t xml:space="preserve"> </w:t>
      </w:r>
      <w:r>
        <w:t xml:space="preserve">L2</w:t>
      </w:r>
      <w:r>
        <w:t xml:space="preserve"> </w:t>
      </w:r>
      <w:r>
        <w:t xml:space="preserve">word recognition across modalities in bilinguals.</w:t>
      </w:r>
      <w:r>
        <w:t xml:space="preserve"> </w:t>
      </w:r>
      <w:r>
        <w:rPr>
          <w:i/>
          <w:iCs/>
        </w:rPr>
        <w:t xml:space="preserve">Scientific Reports</w:t>
      </w:r>
      <w:r>
        <w:t xml:space="preserve">,</w:t>
      </w:r>
      <w:r>
        <w:t xml:space="preserve"> </w:t>
      </w:r>
      <w:r>
        <w:rPr>
          <w:i/>
          <w:iCs/>
        </w:rPr>
        <w:t xml:space="preserve">11</w:t>
      </w:r>
      <w:r>
        <w:t xml:space="preserve">(1), 12812. http://doi.org/</w:t>
      </w:r>
      <w:hyperlink r:id="rId79">
        <w:r>
          <w:rPr>
            <w:rStyle w:val="Hyperlink"/>
          </w:rPr>
          <w:t xml:space="preserve">10.1038/s41598-021-92259-z</w:t>
        </w:r>
      </w:hyperlink>
    </w:p>
    <w:bookmarkEnd w:id="80"/>
    <w:bookmarkStart w:id="82" w:name="ref-frances_etal_2022"/>
    <w:p>
      <w:pPr>
        <w:pStyle w:val="Bibliography"/>
      </w:pPr>
      <w:r>
        <w:t xml:space="preserve">Frances, C., Navarra-Barindelli, E., &amp; Martin, C. D. (2022). Speaker</w:t>
      </w:r>
      <w:r>
        <w:t xml:space="preserve"> </w:t>
      </w:r>
      <w:r>
        <w:t xml:space="preserve">Accent</w:t>
      </w:r>
      <w:r>
        <w:t xml:space="preserve"> </w:t>
      </w:r>
      <w:r>
        <w:t xml:space="preserve">Modulates</w:t>
      </w:r>
      <w:r>
        <w:t xml:space="preserve"> </w:t>
      </w:r>
      <w:r>
        <w:t xml:space="preserve">the</w:t>
      </w:r>
      <w:r>
        <w:t xml:space="preserve"> </w:t>
      </w:r>
      <w:r>
        <w:t xml:space="preserve">Effects</w:t>
      </w:r>
      <w:r>
        <w:t xml:space="preserve"> </w:t>
      </w:r>
      <w:r>
        <w:t xml:space="preserve">of</w:t>
      </w:r>
      <w:r>
        <w:t xml:space="preserve"> </w:t>
      </w:r>
      <w:r>
        <w:t xml:space="preserve">Orthographic</w:t>
      </w:r>
      <w:r>
        <w:t xml:space="preserve"> </w:t>
      </w:r>
      <w:r>
        <w:t xml:space="preserve">and</w:t>
      </w:r>
      <w:r>
        <w:t xml:space="preserve"> </w:t>
      </w:r>
      <w:r>
        <w:t xml:space="preserve">Phonological</w:t>
      </w:r>
      <w:r>
        <w:t xml:space="preserve"> </w:t>
      </w:r>
      <w:r>
        <w:t xml:space="preserve">Similarity</w:t>
      </w:r>
      <w:r>
        <w:t xml:space="preserve"> </w:t>
      </w:r>
      <w:r>
        <w:t xml:space="preserve">on</w:t>
      </w:r>
      <w:r>
        <w:t xml:space="preserve"> </w:t>
      </w:r>
      <w:r>
        <w:t xml:space="preserve">Auditory</w:t>
      </w:r>
      <w:r>
        <w:t xml:space="preserve"> </w:t>
      </w:r>
      <w:r>
        <w:t xml:space="preserve">Processing</w:t>
      </w:r>
      <w:r>
        <w:t xml:space="preserve"> </w:t>
      </w:r>
      <w:r>
        <w:t xml:space="preserve">by</w:t>
      </w:r>
      <w:r>
        <w:t xml:space="preserve"> </w:t>
      </w:r>
      <w:r>
        <w:t xml:space="preserve">Learners</w:t>
      </w:r>
      <w:r>
        <w:t xml:space="preserve"> </w:t>
      </w:r>
      <w:r>
        <w:t xml:space="preserve">of</w:t>
      </w:r>
      <w:r>
        <w:t xml:space="preserve"> </w:t>
      </w:r>
      <w:r>
        <w:t xml:space="preserve">English</w:t>
      </w:r>
      <w:r>
        <w:t xml:space="preserve">.</w:t>
      </w:r>
      <w:r>
        <w:t xml:space="preserve"> </w:t>
      </w:r>
      <w:r>
        <w:rPr>
          <w:i/>
          <w:iCs/>
        </w:rPr>
        <w:t xml:space="preserve">Frontiers in Psychology</w:t>
      </w:r>
      <w:r>
        <w:t xml:space="preserve">,</w:t>
      </w:r>
      <w:r>
        <w:t xml:space="preserve"> </w:t>
      </w:r>
      <w:r>
        <w:rPr>
          <w:i/>
          <w:iCs/>
        </w:rPr>
        <w:t xml:space="preserve">13</w:t>
      </w:r>
      <w:r>
        <w:t xml:space="preserve">. http://doi.org/</w:t>
      </w:r>
      <w:hyperlink r:id="rId81">
        <w:r>
          <w:rPr>
            <w:rStyle w:val="Hyperlink"/>
          </w:rPr>
          <w:t xml:space="preserve">10.3389/fpsyg.2022.892822</w:t>
        </w:r>
      </w:hyperlink>
    </w:p>
    <w:bookmarkEnd w:id="82"/>
    <w:bookmarkStart w:id="84" w:name="ref-garrido-pozu_2024"/>
    <w:p>
      <w:pPr>
        <w:pStyle w:val="Bibliography"/>
      </w:pPr>
      <w:r>
        <w:t xml:space="preserve">Garrido-Pozú, J. J. (2024). Cross-linguistic effects of form overlap in aural recognition of</w:t>
      </w:r>
      <w:r>
        <w:t xml:space="preserve"> </w:t>
      </w:r>
      <w:r>
        <w:t xml:space="preserve">Spanish</w:t>
      </w:r>
      <w:r>
        <w:t xml:space="preserve">–</w:t>
      </w:r>
      <w:r>
        <w:t xml:space="preserve">English</w:t>
      </w:r>
      <w:r>
        <w:t xml:space="preserve"> </w:t>
      </w:r>
      <w:r>
        <w:t xml:space="preserve">cognates.</w:t>
      </w:r>
      <w:r>
        <w:t xml:space="preserve"> </w:t>
      </w:r>
      <w:r>
        <w:rPr>
          <w:i/>
          <w:iCs/>
        </w:rPr>
        <w:t xml:space="preserve">Bilingualism: Language and Cognition</w:t>
      </w:r>
      <w:r>
        <w:t xml:space="preserve">,</w:t>
      </w:r>
      <w:r>
        <w:t xml:space="preserve"> </w:t>
      </w:r>
      <w:r>
        <w:rPr>
          <w:i/>
          <w:iCs/>
        </w:rPr>
        <w:t xml:space="preserve">27</w:t>
      </w:r>
      <w:r>
        <w:t xml:space="preserve">(5), 914–926. http://doi.org/</w:t>
      </w:r>
      <w:hyperlink r:id="rId83">
        <w:r>
          <w:rPr>
            <w:rStyle w:val="Hyperlink"/>
          </w:rPr>
          <w:t xml:space="preserve">10.1017/S1366728924000270</w:t>
        </w:r>
      </w:hyperlink>
    </w:p>
    <w:bookmarkEnd w:id="84"/>
    <w:bookmarkStart w:id="86" w:name="ref-van_hell_degroot_2008"/>
    <w:p>
      <w:pPr>
        <w:pStyle w:val="Bibliography"/>
      </w:pPr>
      <w:r>
        <w:t xml:space="preserve">Hell, J. G. van, &amp; Groot, A. M. B. de. (2008). Sentence context modulates visual word recognition and translation in bilinguals.</w:t>
      </w:r>
      <w:r>
        <w:t xml:space="preserve"> </w:t>
      </w:r>
      <w:r>
        <w:rPr>
          <w:i/>
          <w:iCs/>
        </w:rPr>
        <w:t xml:space="preserve">Acta Psychologica</w:t>
      </w:r>
      <w:r>
        <w:t xml:space="preserve">,</w:t>
      </w:r>
      <w:r>
        <w:t xml:space="preserve"> </w:t>
      </w:r>
      <w:r>
        <w:rPr>
          <w:i/>
          <w:iCs/>
        </w:rPr>
        <w:t xml:space="preserve">128</w:t>
      </w:r>
      <w:r>
        <w:t xml:space="preserve">(3), 431–451. http://doi.org/</w:t>
      </w:r>
      <w:hyperlink r:id="rId85">
        <w:r>
          <w:rPr>
            <w:rStyle w:val="Hyperlink"/>
          </w:rPr>
          <w:t xml:space="preserve">10.1016/j.actpsy.2008.03.010</w:t>
        </w:r>
      </w:hyperlink>
    </w:p>
    <w:bookmarkEnd w:id="86"/>
    <w:bookmarkStart w:id="87" w:name="ref-izura_etal_2014"/>
    <w:p>
      <w:pPr>
        <w:pStyle w:val="Bibliography"/>
      </w:pPr>
      <w:r>
        <w:t xml:space="preserve">Izura, C., Cuetos, F., &amp; Brysbaert, M. (2014). Lextale-</w:t>
      </w:r>
      <w:r>
        <w:t xml:space="preserve">Esp</w:t>
      </w:r>
      <w:r>
        <w:t xml:space="preserve">:</w:t>
      </w:r>
      <w:r>
        <w:t xml:space="preserve"> </w:t>
      </w:r>
      <w:r>
        <w:t xml:space="preserve">A</w:t>
      </w:r>
      <w:r>
        <w:t xml:space="preserve"> </w:t>
      </w:r>
      <w:r>
        <w:t xml:space="preserve">test to rapidly and efficiently assess the</w:t>
      </w:r>
      <w:r>
        <w:t xml:space="preserve"> </w:t>
      </w:r>
      <w:r>
        <w:t xml:space="preserve">Spanish</w:t>
      </w:r>
      <w:r>
        <w:t xml:space="preserve"> </w:t>
      </w:r>
      <w:r>
        <w:t xml:space="preserve">vocabulary size.</w:t>
      </w:r>
      <w:r>
        <w:t xml:space="preserve"> </w:t>
      </w:r>
      <w:r>
        <w:rPr>
          <w:i/>
          <w:iCs/>
        </w:rPr>
        <w:t xml:space="preserve">Psicológica</w:t>
      </w:r>
      <w:r>
        <w:t xml:space="preserve">,</w:t>
      </w:r>
      <w:r>
        <w:t xml:space="preserve"> </w:t>
      </w:r>
      <w:r>
        <w:rPr>
          <w:i/>
          <w:iCs/>
        </w:rPr>
        <w:t xml:space="preserve">35</w:t>
      </w:r>
      <w:r>
        <w:t xml:space="preserve">(1), 49–66.</w:t>
      </w:r>
    </w:p>
    <w:bookmarkEnd w:id="87"/>
    <w:bookmarkStart w:id="88" w:name="ref-Kellerman_1983"/>
    <w:p>
      <w:pPr>
        <w:pStyle w:val="Bibliography"/>
      </w:pPr>
      <w:r>
        <w:t xml:space="preserve">Kellerman, E. (1983). Now you see it, now you don’t. In S. M. Gass &amp; L. Selinker (Eds.),</w:t>
      </w:r>
      <w:r>
        <w:t xml:space="preserve"> </w:t>
      </w:r>
      <w:r>
        <w:rPr>
          <w:i/>
          <w:iCs/>
        </w:rPr>
        <w:t xml:space="preserve">Language transfer in language learning</w:t>
      </w:r>
      <w:r>
        <w:t xml:space="preserve"> </w:t>
      </w:r>
      <w:r>
        <w:t xml:space="preserve">(pp. 112–134). Rowley, MA: Newbury House.</w:t>
      </w:r>
    </w:p>
    <w:bookmarkEnd w:id="88"/>
    <w:bookmarkStart w:id="90" w:name="ref-lemhofer_broersma_2012"/>
    <w:p>
      <w:pPr>
        <w:pStyle w:val="Bibliography"/>
      </w:pPr>
      <w:r>
        <w:t xml:space="preserve">Lemhöfer, K., &amp; Broersma, M. (2012). Introducing</w:t>
      </w:r>
      <w:r>
        <w:t xml:space="preserve"> </w:t>
      </w:r>
      <w:r>
        <w:t xml:space="preserve">LexTALE</w:t>
      </w:r>
      <w:r>
        <w:t xml:space="preserve">:</w:t>
      </w:r>
      <w:r>
        <w:t xml:space="preserve"> </w:t>
      </w:r>
      <w:r>
        <w:t xml:space="preserve">A</w:t>
      </w:r>
      <w:r>
        <w:t xml:space="preserve"> </w:t>
      </w:r>
      <w:r>
        <w:t xml:space="preserve">quick and valid</w:t>
      </w:r>
      <w:r>
        <w:t xml:space="preserve"> </w:t>
      </w:r>
      <w:r>
        <w:t xml:space="preserve">Lexical</w:t>
      </w:r>
      <w:r>
        <w:t xml:space="preserve"> </w:t>
      </w:r>
      <w:r>
        <w:t xml:space="preserve">Test</w:t>
      </w:r>
      <w:r>
        <w:t xml:space="preserve"> </w:t>
      </w:r>
      <w:r>
        <w:t xml:space="preserve">for</w:t>
      </w:r>
      <w:r>
        <w:t xml:space="preserve"> </w:t>
      </w:r>
      <w:r>
        <w:t xml:space="preserve">Advanced</w:t>
      </w:r>
      <w:r>
        <w:t xml:space="preserve"> </w:t>
      </w:r>
      <w:r>
        <w:t xml:space="preserve">Learners</w:t>
      </w:r>
      <w:r>
        <w:t xml:space="preserve"> </w:t>
      </w:r>
      <w:r>
        <w:t xml:space="preserve">of</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44</w:t>
      </w:r>
      <w:r>
        <w:t xml:space="preserve">(2), 325–343. http://doi.org/</w:t>
      </w:r>
      <w:hyperlink r:id="rId89">
        <w:r>
          <w:rPr>
            <w:rStyle w:val="Hyperlink"/>
          </w:rPr>
          <w:t xml:space="preserve">10.3758/s13428-011-0146-0</w:t>
        </w:r>
      </w:hyperlink>
    </w:p>
    <w:bookmarkEnd w:id="90"/>
    <w:bookmarkStart w:id="92" w:name="ref-lemhoefer_etal_2004"/>
    <w:p>
      <w:pPr>
        <w:pStyle w:val="Bibliography"/>
      </w:pPr>
      <w:r>
        <w:t xml:space="preserve">Lemhöfer, K., Dijkstra, T., &amp; Michel, M. (2004). Three languages, one</w:t>
      </w:r>
      <w:r>
        <w:t xml:space="preserve"> </w:t>
      </w:r>
      <w:r>
        <w:t xml:space="preserve">ECHO</w:t>
      </w:r>
      <w:r>
        <w:t xml:space="preserve">:</w:t>
      </w:r>
      <w:r>
        <w:t xml:space="preserve"> </w:t>
      </w:r>
      <w:r>
        <w:t xml:space="preserve">Cognate</w:t>
      </w:r>
      <w:r>
        <w:t xml:space="preserve"> </w:t>
      </w:r>
      <w:r>
        <w:t xml:space="preserve">effects in trilingual word recognition.</w:t>
      </w:r>
      <w:r>
        <w:t xml:space="preserve"> </w:t>
      </w:r>
      <w:r>
        <w:rPr>
          <w:i/>
          <w:iCs/>
        </w:rPr>
        <w:t xml:space="preserve">Language and Cognitive Processes</w:t>
      </w:r>
      <w:r>
        <w:t xml:space="preserve">,</w:t>
      </w:r>
      <w:r>
        <w:t xml:space="preserve"> </w:t>
      </w:r>
      <w:r>
        <w:rPr>
          <w:i/>
          <w:iCs/>
        </w:rPr>
        <w:t xml:space="preserve">19</w:t>
      </w:r>
      <w:r>
        <w:t xml:space="preserve">(5), 585–611. http://doi.org/</w:t>
      </w:r>
      <w:hyperlink r:id="rId91">
        <w:r>
          <w:rPr>
            <w:rStyle w:val="Hyperlink"/>
          </w:rPr>
          <w:t xml:space="preserve">10.1080/01690960444000007</w:t>
        </w:r>
      </w:hyperlink>
    </w:p>
    <w:bookmarkEnd w:id="92"/>
    <w:bookmarkStart w:id="94" w:name="ref-lijewska_2023"/>
    <w:p>
      <w:pPr>
        <w:pStyle w:val="Bibliography"/>
      </w:pPr>
      <w:r>
        <w:t xml:space="preserve">Lijewska, A. (2023). The influence of semantic bias on triple non-identical cognates during reading:</w:t>
      </w:r>
      <w:r>
        <w:t xml:space="preserve"> </w:t>
      </w:r>
      <w:r>
        <w:t xml:space="preserve">Evidence</w:t>
      </w:r>
      <w:r>
        <w:t xml:space="preserve"> </w:t>
      </w:r>
      <w:r>
        <w:t xml:space="preserve">from trilinguals’ eye movements.</w:t>
      </w:r>
      <w:r>
        <w:t xml:space="preserve"> </w:t>
      </w:r>
      <w:r>
        <w:rPr>
          <w:i/>
          <w:iCs/>
        </w:rPr>
        <w:t xml:space="preserve">Second Language Research</w:t>
      </w:r>
      <w:r>
        <w:t xml:space="preserve">,</w:t>
      </w:r>
      <w:r>
        <w:t xml:space="preserve"> </w:t>
      </w:r>
      <w:r>
        <w:rPr>
          <w:i/>
          <w:iCs/>
        </w:rPr>
        <w:t xml:space="preserve">39</w:t>
      </w:r>
      <w:r>
        <w:t xml:space="preserve">(4), 1235–1263. http://doi.org/</w:t>
      </w:r>
      <w:hyperlink r:id="rId93">
        <w:r>
          <w:rPr>
            <w:rStyle w:val="Hyperlink"/>
          </w:rPr>
          <w:t xml:space="preserve">10.1177/02676583221128525</w:t>
        </w:r>
      </w:hyperlink>
    </w:p>
    <w:bookmarkEnd w:id="94"/>
    <w:bookmarkStart w:id="96" w:name="ref-lijewska_delouw_2025"/>
    <w:p>
      <w:pPr>
        <w:pStyle w:val="Bibliography"/>
      </w:pPr>
      <w:r>
        <w:t xml:space="preserve">Lijewska, A., &amp; Louw, R. de. (2025). Facilitation for non-identical cognates in</w:t>
      </w:r>
      <w:r>
        <w:t xml:space="preserve"> </w:t>
      </w:r>
      <w:r>
        <w:t xml:space="preserve">L3</w:t>
      </w:r>
      <w:r>
        <w:t xml:space="preserve">.</w:t>
      </w:r>
      <w:r>
        <w:t xml:space="preserve"> </w:t>
      </w:r>
      <w:r>
        <w:rPr>
          <w:i/>
          <w:iCs/>
        </w:rPr>
        <w:t xml:space="preserve">Linguistic Approaches to Bilingualism</w:t>
      </w:r>
      <w:r>
        <w:t xml:space="preserve">,</w:t>
      </w:r>
      <w:r>
        <w:t xml:space="preserve"> </w:t>
      </w:r>
      <w:r>
        <w:rPr>
          <w:i/>
          <w:iCs/>
        </w:rPr>
        <w:t xml:space="preserve">15</w:t>
      </w:r>
      <w:r>
        <w:t xml:space="preserve">(5), 632–661. http://doi.org/</w:t>
      </w:r>
      <w:hyperlink r:id="rId95">
        <w:r>
          <w:rPr>
            <w:rStyle w:val="Hyperlink"/>
          </w:rPr>
          <w:t xml:space="preserve">https://doi.org/10.1075/lab.21016.lij</w:t>
        </w:r>
      </w:hyperlink>
    </w:p>
    <w:bookmarkEnd w:id="96"/>
    <w:bookmarkStart w:id="98" w:name="ref-lotto_degroot_1998"/>
    <w:p>
      <w:pPr>
        <w:pStyle w:val="Bibliography"/>
      </w:pPr>
      <w:r>
        <w:t xml:space="preserve">Lotto, L., &amp; Groot, A. M. B. de. (1998). Effects of learning method and word type on acquiring vocabulary in an unfamiliar language.</w:t>
      </w:r>
      <w:r>
        <w:t xml:space="preserve"> </w:t>
      </w:r>
      <w:r>
        <w:rPr>
          <w:i/>
          <w:iCs/>
        </w:rPr>
        <w:t xml:space="preserve">Language Learning</w:t>
      </w:r>
      <w:r>
        <w:t xml:space="preserve">,</w:t>
      </w:r>
      <w:r>
        <w:t xml:space="preserve"> </w:t>
      </w:r>
      <w:r>
        <w:rPr>
          <w:i/>
          <w:iCs/>
        </w:rPr>
        <w:t xml:space="preserve">48</w:t>
      </w:r>
      <w:r>
        <w:t xml:space="preserve">(1), 31–69. http://doi.org/</w:t>
      </w:r>
      <w:hyperlink r:id="rId97">
        <w:r>
          <w:rPr>
            <w:rStyle w:val="Hyperlink"/>
          </w:rPr>
          <w:t xml:space="preserve">10.1111/1467-9922.00032</w:t>
        </w:r>
      </w:hyperlink>
    </w:p>
    <w:bookmarkEnd w:id="98"/>
    <w:bookmarkStart w:id="100" w:name="ref-muntendam_etal_2022"/>
    <w:p>
      <w:pPr>
        <w:pStyle w:val="Bibliography"/>
      </w:pPr>
      <w:r>
        <w:t xml:space="preserve">Muntendam, A., Rijswijk, R., Severijnen, G., &amp; Dijkstra, T. (2022). The role of stress position in bilingual auditory word recognition:</w:t>
      </w:r>
      <w:r>
        <w:t xml:space="preserve"> </w:t>
      </w:r>
      <w:r>
        <w:t xml:space="preserve">Cognate</w:t>
      </w:r>
      <w:r>
        <w:t xml:space="preserve"> </w:t>
      </w:r>
      <w:r>
        <w:t xml:space="preserve">processing in</w:t>
      </w:r>
      <w:r>
        <w:t xml:space="preserve"> </w:t>
      </w:r>
      <w:r>
        <w:t xml:space="preserve">Turkish</w:t>
      </w:r>
      <w:r>
        <w:t xml:space="preserve"> </w:t>
      </w:r>
      <w:r>
        <w:t xml:space="preserve">and</w:t>
      </w:r>
      <w:r>
        <w:t xml:space="preserve"> </w:t>
      </w:r>
      <w:r>
        <w:t xml:space="preserve">Dutch</w:t>
      </w:r>
      <w:r>
        <w:t xml:space="preserve">.</w:t>
      </w:r>
      <w:r>
        <w:t xml:space="preserve"> </w:t>
      </w:r>
      <w:r>
        <w:rPr>
          <w:i/>
          <w:iCs/>
        </w:rPr>
        <w:t xml:space="preserve">Bilingualism: Language and Cognition</w:t>
      </w:r>
      <w:r>
        <w:t xml:space="preserve">,</w:t>
      </w:r>
      <w:r>
        <w:t xml:space="preserve"> </w:t>
      </w:r>
      <w:r>
        <w:rPr>
          <w:i/>
          <w:iCs/>
        </w:rPr>
        <w:t xml:space="preserve">25</w:t>
      </w:r>
      <w:r>
        <w:t xml:space="preserve">, 1–12. http://doi.org/</w:t>
      </w:r>
      <w:hyperlink r:id="rId99">
        <w:r>
          <w:rPr>
            <w:rStyle w:val="Hyperlink"/>
          </w:rPr>
          <w:t xml:space="preserve">10.1017/S1366728922000037</w:t>
        </w:r>
      </w:hyperlink>
    </w:p>
    <w:bookmarkEnd w:id="100"/>
    <w:bookmarkStart w:id="102" w:name="ref-new_etal_2024"/>
    <w:p>
      <w:pPr>
        <w:pStyle w:val="Bibliography"/>
      </w:pPr>
      <w:r>
        <w:t xml:space="preserve">New, B., Bourgin, J., Barra, J., &amp; Pallier, C. (2024).</w:t>
      </w:r>
      <w:r>
        <w:t xml:space="preserve"> </w:t>
      </w:r>
      <w:r>
        <w:t xml:space="preserve">UniPseudo</w:t>
      </w:r>
      <w:r>
        <w:t xml:space="preserve">:</w:t>
      </w:r>
      <w:r>
        <w:t xml:space="preserve"> </w:t>
      </w:r>
      <w:r>
        <w:t xml:space="preserve">A</w:t>
      </w:r>
      <w:r>
        <w:t xml:space="preserve"> </w:t>
      </w:r>
      <w:r>
        <w:t xml:space="preserve">universal pseudoword generator.</w:t>
      </w:r>
      <w:r>
        <w:t xml:space="preserve"> </w:t>
      </w:r>
      <w:r>
        <w:rPr>
          <w:i/>
          <w:iCs/>
        </w:rPr>
        <w:t xml:space="preserve">Quarterly Journal of Experimental Psychology</w:t>
      </w:r>
      <w:r>
        <w:t xml:space="preserve">,</w:t>
      </w:r>
      <w:r>
        <w:t xml:space="preserve"> </w:t>
      </w:r>
      <w:r>
        <w:rPr>
          <w:i/>
          <w:iCs/>
        </w:rPr>
        <w:t xml:space="preserve">77</w:t>
      </w:r>
      <w:r>
        <w:t xml:space="preserve">(2), 278–286. http://doi.org/</w:t>
      </w:r>
      <w:hyperlink r:id="rId101">
        <w:r>
          <w:rPr>
            <w:rStyle w:val="Hyperlink"/>
          </w:rPr>
          <w:t xml:space="preserve">10.1177/17470218231164373</w:t>
        </w:r>
      </w:hyperlink>
    </w:p>
    <w:bookmarkEnd w:id="102"/>
    <w:bookmarkStart w:id="104" w:name="ref-otwinowska_szewczyk_2019"/>
    <w:p>
      <w:pPr>
        <w:pStyle w:val="Bibliography"/>
      </w:pPr>
      <w:r>
        <w:t xml:space="preserve">Otwinowska, A., &amp; Szewczyk, J. M. (2019). The more similar the better?</w:t>
      </w:r>
      <w:r>
        <w:t xml:space="preserve"> </w:t>
      </w:r>
      <w:r>
        <w:t xml:space="preserve">Factors</w:t>
      </w:r>
      <w:r>
        <w:t xml:space="preserve"> </w:t>
      </w:r>
      <w:r>
        <w:t xml:space="preserve">in learning cognates, false cognates and non-cognate words.</w:t>
      </w:r>
      <w:r>
        <w:t xml:space="preserve"> </w:t>
      </w:r>
      <w:r>
        <w:rPr>
          <w:i/>
          <w:iCs/>
        </w:rPr>
        <w:t xml:space="preserve">International Journal of Bilingual Education and Bilingualism</w:t>
      </w:r>
      <w:r>
        <w:t xml:space="preserve">,</w:t>
      </w:r>
      <w:r>
        <w:t xml:space="preserve"> </w:t>
      </w:r>
      <w:r>
        <w:rPr>
          <w:i/>
          <w:iCs/>
        </w:rPr>
        <w:t xml:space="preserve">22</w:t>
      </w:r>
      <w:r>
        <w:t xml:space="preserve">(8), 974–991. http://doi.org/</w:t>
      </w:r>
      <w:hyperlink r:id="rId103">
        <w:r>
          <w:rPr>
            <w:rStyle w:val="Hyperlink"/>
          </w:rPr>
          <w:t xml:space="preserve">10.1080/13670050.2017.1325834</w:t>
        </w:r>
      </w:hyperlink>
    </w:p>
    <w:bookmarkEnd w:id="104"/>
    <w:bookmarkStart w:id="106" w:name="ref-peeters_etal_2013"/>
    <w:p>
      <w:pPr>
        <w:pStyle w:val="Bibliography"/>
      </w:pPr>
      <w:r>
        <w:t xml:space="preserve">Peeters, D., Dijkstra, T., &amp; Grainger, J. (2013). The representation and processing of identical cognates by late bilinguals:</w:t>
      </w:r>
      <w:r>
        <w:t xml:space="preserve"> </w:t>
      </w:r>
      <w:r>
        <w:t xml:space="preserve">RT</w:t>
      </w:r>
      <w:r>
        <w:t xml:space="preserve"> </w:t>
      </w:r>
      <w:r>
        <w:t xml:space="preserve">and</w:t>
      </w:r>
      <w:r>
        <w:t xml:space="preserve"> </w:t>
      </w:r>
      <w:r>
        <w:t xml:space="preserve">ERP</w:t>
      </w:r>
      <w:r>
        <w:t xml:space="preserve"> </w:t>
      </w:r>
      <w:r>
        <w:t xml:space="preserve">effects.</w:t>
      </w:r>
      <w:r>
        <w:t xml:space="preserve"> </w:t>
      </w:r>
      <w:r>
        <w:rPr>
          <w:i/>
          <w:iCs/>
        </w:rPr>
        <w:t xml:space="preserve">Journal of Memory and Language</w:t>
      </w:r>
      <w:r>
        <w:t xml:space="preserve">,</w:t>
      </w:r>
      <w:r>
        <w:t xml:space="preserve"> </w:t>
      </w:r>
      <w:r>
        <w:rPr>
          <w:i/>
          <w:iCs/>
        </w:rPr>
        <w:t xml:space="preserve">68</w:t>
      </w:r>
      <w:r>
        <w:t xml:space="preserve">(4), 315–332. http://doi.org/</w:t>
      </w:r>
      <w:hyperlink r:id="rId105">
        <w:r>
          <w:rPr>
            <w:rStyle w:val="Hyperlink"/>
          </w:rPr>
          <w:t xml:space="preserve">10.1016/j.jml.2012.12.003</w:t>
        </w:r>
      </w:hyperlink>
    </w:p>
    <w:bookmarkEnd w:id="106"/>
    <w:bookmarkStart w:id="108" w:name="ref-peirce_2019"/>
    <w:p>
      <w:pPr>
        <w:pStyle w:val="Bibliography"/>
      </w:pPr>
      <w:r>
        <w:t xml:space="preserve">Peirce, J., Gray, J. R., Simpson, S., MacAskill, M., Höchenberger, R., Sogo, H., … Lindeløv, J. K. (2019).</w:t>
      </w:r>
      <w:r>
        <w:t xml:space="preserve"> </w:t>
      </w:r>
      <w:r>
        <w:t xml:space="preserve">PsychoPy2</w:t>
      </w:r>
      <w:r>
        <w:t xml:space="preserve">:</w:t>
      </w:r>
      <w:r>
        <w:t xml:space="preserve"> </w:t>
      </w:r>
      <w:r>
        <w:t xml:space="preserve">Experiments</w:t>
      </w:r>
      <w:r>
        <w:t xml:space="preserve"> </w:t>
      </w:r>
      <w:r>
        <w:t xml:space="preserve">in behavior made easy.</w:t>
      </w:r>
      <w:r>
        <w:t xml:space="preserve"> </w:t>
      </w:r>
      <w:r>
        <w:rPr>
          <w:i/>
          <w:iCs/>
        </w:rPr>
        <w:t xml:space="preserve">Behavior Research Methods</w:t>
      </w:r>
      <w:r>
        <w:t xml:space="preserve">,</w:t>
      </w:r>
      <w:r>
        <w:t xml:space="preserve"> </w:t>
      </w:r>
      <w:r>
        <w:rPr>
          <w:i/>
          <w:iCs/>
        </w:rPr>
        <w:t xml:space="preserve">51</w:t>
      </w:r>
      <w:r>
        <w:t xml:space="preserve">(1), 195–203. http://doi.org/</w:t>
      </w:r>
      <w:hyperlink r:id="rId107">
        <w:r>
          <w:rPr>
            <w:rStyle w:val="Hyperlink"/>
          </w:rPr>
          <w:t xml:space="preserve">10.3758/s13428-018-01193-y</w:t>
        </w:r>
      </w:hyperlink>
    </w:p>
    <w:bookmarkEnd w:id="108"/>
    <w:bookmarkStart w:id="110" w:name="ref-poarch_vanhell_2014"/>
    <w:p>
      <w:pPr>
        <w:pStyle w:val="Bibliography"/>
      </w:pPr>
      <w:r>
        <w:t xml:space="preserve">Poarch, G. J., &amp; Hell, J. G. van. (2014). Cross-language activation in same-script and different-script trilinguals.</w:t>
      </w:r>
      <w:r>
        <w:t xml:space="preserve"> </w:t>
      </w:r>
      <w:r>
        <w:rPr>
          <w:i/>
          <w:iCs/>
        </w:rPr>
        <w:t xml:space="preserve">International Journal of Bilingualism</w:t>
      </w:r>
      <w:r>
        <w:t xml:space="preserve">,</w:t>
      </w:r>
      <w:r>
        <w:t xml:space="preserve"> </w:t>
      </w:r>
      <w:r>
        <w:rPr>
          <w:i/>
          <w:iCs/>
        </w:rPr>
        <w:t xml:space="preserve">18</w:t>
      </w:r>
      <w:r>
        <w:t xml:space="preserve">(6), 693–716. http://doi.org/</w:t>
      </w:r>
      <w:hyperlink r:id="rId109">
        <w:r>
          <w:rPr>
            <w:rStyle w:val="Hyperlink"/>
          </w:rPr>
          <w:t xml:space="preserve">10.1177/1367006912472262</w:t>
        </w:r>
      </w:hyperlink>
    </w:p>
    <w:bookmarkEnd w:id="110"/>
    <w:bookmarkStart w:id="112" w:name="ref-poort_rodd_2017"/>
    <w:p>
      <w:pPr>
        <w:pStyle w:val="Bibliography"/>
      </w:pPr>
      <w:r>
        <w:t xml:space="preserve">Poort, E. D., &amp; Rodd, J. M. (2017). The cognate facilitation effect in bilingual lexical decision is influenced by stimulus list composition.</w:t>
      </w:r>
      <w:r>
        <w:t xml:space="preserve"> </w:t>
      </w:r>
      <w:r>
        <w:rPr>
          <w:i/>
          <w:iCs/>
        </w:rPr>
        <w:t xml:space="preserve">Acta Psychologica</w:t>
      </w:r>
      <w:r>
        <w:t xml:space="preserve">,</w:t>
      </w:r>
      <w:r>
        <w:t xml:space="preserve"> </w:t>
      </w:r>
      <w:r>
        <w:rPr>
          <w:i/>
          <w:iCs/>
        </w:rPr>
        <w:t xml:space="preserve">180</w:t>
      </w:r>
      <w:r>
        <w:t xml:space="preserve">, 52–63. http://doi.org/</w:t>
      </w:r>
      <w:hyperlink r:id="rId111">
        <w:r>
          <w:rPr>
            <w:rStyle w:val="Hyperlink"/>
          </w:rPr>
          <w:t xml:space="preserve">10.1016/j.actpsy.2017.08.008</w:t>
        </w:r>
      </w:hyperlink>
    </w:p>
    <w:bookmarkEnd w:id="112"/>
    <w:bookmarkStart w:id="114" w:name="ref-puig-mayenco_etal_2020"/>
    <w:p>
      <w:pPr>
        <w:pStyle w:val="Bibliography"/>
      </w:pPr>
      <w:r>
        <w:t xml:space="preserve">Puig-Mayenco, E., González Alonso, J., &amp; Rothman, J. (2020). A systematic review of transfer studies in third language acquisition.</w:t>
      </w:r>
      <w:r>
        <w:t xml:space="preserve"> </w:t>
      </w:r>
      <w:r>
        <w:rPr>
          <w:i/>
          <w:iCs/>
        </w:rPr>
        <w:t xml:space="preserve">Second Language Research</w:t>
      </w:r>
      <w:r>
        <w:t xml:space="preserve">,</w:t>
      </w:r>
      <w:r>
        <w:t xml:space="preserve"> </w:t>
      </w:r>
      <w:r>
        <w:rPr>
          <w:i/>
          <w:iCs/>
        </w:rPr>
        <w:t xml:space="preserve">36</w:t>
      </w:r>
      <w:r>
        <w:t xml:space="preserve">(1), 31–64. http://doi.org/</w:t>
      </w:r>
      <w:hyperlink r:id="rId113">
        <w:r>
          <w:rPr>
            <w:rStyle w:val="Hyperlink"/>
          </w:rPr>
          <w:t xml:space="preserve">10.1177/0267658318809147</w:t>
        </w:r>
      </w:hyperlink>
    </w:p>
    <w:bookmarkEnd w:id="114"/>
    <w:bookmarkStart w:id="115" w:name="ref-Rothman_2011"/>
    <w:p>
      <w:pPr>
        <w:pStyle w:val="Bibliography"/>
      </w:pPr>
      <w:r>
        <w:t xml:space="preserve">Rothman, J. (2011). L3 syntactic transfer selectivity and typological determinacy: The typological primacy model.</w:t>
      </w:r>
      <w:r>
        <w:t xml:space="preserve"> </w:t>
      </w:r>
      <w:r>
        <w:rPr>
          <w:i/>
          <w:iCs/>
        </w:rPr>
        <w:t xml:space="preserve">Second Language Research</w:t>
      </w:r>
      <w:r>
        <w:t xml:space="preserve">,</w:t>
      </w:r>
      <w:r>
        <w:t xml:space="preserve"> </w:t>
      </w:r>
      <w:r>
        <w:rPr>
          <w:i/>
          <w:iCs/>
        </w:rPr>
        <w:t xml:space="preserve">27</w:t>
      </w:r>
      <w:r>
        <w:t xml:space="preserve">(1), 107–127.</w:t>
      </w:r>
    </w:p>
    <w:bookmarkEnd w:id="115"/>
    <w:bookmarkStart w:id="116" w:name="ref-Rothman_2013"/>
    <w:p>
      <w:pPr>
        <w:pStyle w:val="Bibliography"/>
      </w:pPr>
      <w:r>
        <w:t xml:space="preserve">Rothman, J. (2013). Cognitive economy, non-redundancy and typological primacy in L3 acquisition: Evidence from initial stages of L3 romance. In S. Baauw, F. Dirjkoningen, M. Pinto, &amp; L. Meroni (Eds.),</w:t>
      </w:r>
      <w:r>
        <w:t xml:space="preserve"> </w:t>
      </w:r>
      <w:r>
        <w:rPr>
          <w:i/>
          <w:iCs/>
        </w:rPr>
        <w:t xml:space="preserve">Romance languages and linguistic theory 2011</w:t>
      </w:r>
      <w:r>
        <w:t xml:space="preserve"> </w:t>
      </w:r>
      <w:r>
        <w:t xml:space="preserve">(pp. 217–247). Amsterdam: John Benjamins.</w:t>
      </w:r>
    </w:p>
    <w:bookmarkEnd w:id="116"/>
    <w:bookmarkStart w:id="117" w:name="ref-Rothman_2015"/>
    <w:p>
      <w:pPr>
        <w:pStyle w:val="Bibliography"/>
      </w:pPr>
      <w:r>
        <w:t xml:space="preserve">Rothman, J. (2015). Linguistic and cognitive motivations for the typological primacy model (TPM) of third language (L3) transfer: Timing of acquisition and proficiency considered.</w:t>
      </w:r>
      <w:r>
        <w:t xml:space="preserve"> </w:t>
      </w:r>
      <w:r>
        <w:rPr>
          <w:i/>
          <w:iCs/>
        </w:rPr>
        <w:t xml:space="preserve">Bilingualism: Language and Cognition</w:t>
      </w:r>
      <w:r>
        <w:t xml:space="preserve">,</w:t>
      </w:r>
      <w:r>
        <w:t xml:space="preserve"> </w:t>
      </w:r>
      <w:r>
        <w:rPr>
          <w:i/>
          <w:iCs/>
        </w:rPr>
        <w:t xml:space="preserve">18</w:t>
      </w:r>
      <w:r>
        <w:t xml:space="preserve">(2), 179–190.</w:t>
      </w:r>
    </w:p>
    <w:bookmarkEnd w:id="117"/>
    <w:bookmarkStart w:id="119" w:name="ref-szubko-sitarek_2011"/>
    <w:p>
      <w:pPr>
        <w:pStyle w:val="Bibliography"/>
      </w:pPr>
      <w:r>
        <w:t xml:space="preserve">Szubko-Sitarek, W. (2011). Cognate facilitation effects in trilingual word recognition.</w:t>
      </w:r>
      <w:r>
        <w:t xml:space="preserve"> </w:t>
      </w:r>
      <w:r>
        <w:rPr>
          <w:i/>
          <w:iCs/>
        </w:rPr>
        <w:t xml:space="preserve">Studies in Second Language Learning and Teaching</w:t>
      </w:r>
      <w:r>
        <w:t xml:space="preserve">,</w:t>
      </w:r>
      <w:r>
        <w:t xml:space="preserve"> </w:t>
      </w:r>
      <w:r>
        <w:rPr>
          <w:i/>
          <w:iCs/>
        </w:rPr>
        <w:t xml:space="preserve">1</w:t>
      </w:r>
      <w:r>
        <w:t xml:space="preserve">(2), 189–208. http://doi.org/</w:t>
      </w:r>
      <w:hyperlink r:id="rId118">
        <w:r>
          <w:rPr>
            <w:rStyle w:val="Hyperlink"/>
          </w:rPr>
          <w:t xml:space="preserve">10.14746/ssllt.2011.1.2.2</w:t>
        </w:r>
      </w:hyperlink>
    </w:p>
    <w:bookmarkEnd w:id="119"/>
    <w:bookmarkStart w:id="121" w:name="ref-tiffin-richards_2024"/>
    <w:p>
      <w:pPr>
        <w:pStyle w:val="Bibliography"/>
      </w:pPr>
      <w:r>
        <w:t xml:space="preserve">Tiffin-Richards, S. P. (2024). Cognate facilitation in bilingual reading:</w:t>
      </w:r>
      <w:r>
        <w:t xml:space="preserve"> </w:t>
      </w:r>
      <w:r>
        <w:t xml:space="preserve">The</w:t>
      </w:r>
      <w:r>
        <w:t xml:space="preserve"> </w:t>
      </w:r>
      <w:r>
        <w:t xml:space="preserve">influence of orthographic and phonological similarity on lexical decisions and eye-movements.</w:t>
      </w:r>
      <w:r>
        <w:t xml:space="preserve"> </w:t>
      </w:r>
      <w:r>
        <w:rPr>
          <w:i/>
          <w:iCs/>
        </w:rPr>
        <w:t xml:space="preserve">Bilingualism: Language and Cognition</w:t>
      </w:r>
      <w:r>
        <w:t xml:space="preserve">,</w:t>
      </w:r>
      <w:r>
        <w:t xml:space="preserve"> </w:t>
      </w:r>
      <w:r>
        <w:rPr>
          <w:i/>
          <w:iCs/>
        </w:rPr>
        <w:t xml:space="preserve">27</w:t>
      </w:r>
      <w:r>
        <w:t xml:space="preserve">(5), 964–981. http://doi.org/</w:t>
      </w:r>
      <w:hyperlink r:id="rId120">
        <w:r>
          <w:rPr>
            <w:rStyle w:val="Hyperlink"/>
          </w:rPr>
          <w:t xml:space="preserve">10.1017/S1366728923000949</w:t>
        </w:r>
      </w:hyperlink>
    </w:p>
    <w:bookmarkEnd w:id="121"/>
    <w:bookmarkStart w:id="123" w:name="ref-tonzar_etal_2009"/>
    <w:p>
      <w:pPr>
        <w:pStyle w:val="Bibliography"/>
      </w:pPr>
      <w:r>
        <w:t xml:space="preserve">Tonzar, C., Lotto, L., &amp; Job, R. (2009). L2</w:t>
      </w:r>
      <w:r>
        <w:t xml:space="preserve"> </w:t>
      </w:r>
      <w:r>
        <w:t xml:space="preserve">Vocabulary</w:t>
      </w:r>
      <w:r>
        <w:t xml:space="preserve"> </w:t>
      </w:r>
      <w:r>
        <w:t xml:space="preserve">Acquisition</w:t>
      </w:r>
      <w:r>
        <w:t xml:space="preserve"> </w:t>
      </w:r>
      <w:r>
        <w:t xml:space="preserve">in</w:t>
      </w:r>
      <w:r>
        <w:t xml:space="preserve"> </w:t>
      </w:r>
      <w:r>
        <w:t xml:space="preserve">Children</w:t>
      </w:r>
      <w:r>
        <w:t xml:space="preserve">:</w:t>
      </w:r>
      <w:r>
        <w:t xml:space="preserve"> </w:t>
      </w:r>
      <w:r>
        <w:t xml:space="preserve">Effects</w:t>
      </w:r>
      <w:r>
        <w:t xml:space="preserve"> </w:t>
      </w:r>
      <w:r>
        <w:t xml:space="preserve">of</w:t>
      </w:r>
      <w:r>
        <w:t xml:space="preserve"> </w:t>
      </w:r>
      <w:r>
        <w:t xml:space="preserve">Learning</w:t>
      </w:r>
      <w:r>
        <w:t xml:space="preserve"> </w:t>
      </w:r>
      <w:r>
        <w:t xml:space="preserve">Method</w:t>
      </w:r>
      <w:r>
        <w:t xml:space="preserve"> </w:t>
      </w:r>
      <w:r>
        <w:t xml:space="preserve">and</w:t>
      </w:r>
      <w:r>
        <w:t xml:space="preserve"> </w:t>
      </w:r>
      <w:r>
        <w:t xml:space="preserve">Cognate</w:t>
      </w:r>
      <w:r>
        <w:t xml:space="preserve"> </w:t>
      </w:r>
      <w:r>
        <w:t xml:space="preserve">Status</w:t>
      </w:r>
      <w:r>
        <w:t xml:space="preserve">.</w:t>
      </w:r>
      <w:r>
        <w:t xml:space="preserve"> </w:t>
      </w:r>
      <w:r>
        <w:rPr>
          <w:i/>
          <w:iCs/>
        </w:rPr>
        <w:t xml:space="preserve">Language Learning</w:t>
      </w:r>
      <w:r>
        <w:t xml:space="preserve">,</w:t>
      </w:r>
      <w:r>
        <w:t xml:space="preserve"> </w:t>
      </w:r>
      <w:r>
        <w:rPr>
          <w:i/>
          <w:iCs/>
        </w:rPr>
        <w:t xml:space="preserve">59</w:t>
      </w:r>
      <w:r>
        <w:t xml:space="preserve">(3), 623–646. http://doi.org/</w:t>
      </w:r>
      <w:hyperlink r:id="rId122">
        <w:r>
          <w:rPr>
            <w:rStyle w:val="Hyperlink"/>
          </w:rPr>
          <w:t xml:space="preserve">10.1111/j.1467-9922.2009.00519.x</w:t>
        </w:r>
      </w:hyperlink>
    </w:p>
    <w:bookmarkEnd w:id="123"/>
    <w:bookmarkStart w:id="125" w:name="ref-woumans_etal_2021"/>
    <w:p>
      <w:pPr>
        <w:pStyle w:val="Bibliography"/>
      </w:pPr>
      <w:r>
        <w:t xml:space="preserve">Woumans, E., Clauws, R., &amp; Duyck, W. (2021). Hands</w:t>
      </w:r>
      <w:r>
        <w:t xml:space="preserve"> </w:t>
      </w:r>
      <w:r>
        <w:t xml:space="preserve">Down</w:t>
      </w:r>
      <w:r>
        <w:t xml:space="preserve">:</w:t>
      </w:r>
      <w:r>
        <w:t xml:space="preserve"> </w:t>
      </w:r>
      <w:r>
        <w:t xml:space="preserve">Cognate</w:t>
      </w:r>
      <w:r>
        <w:t xml:space="preserve"> </w:t>
      </w:r>
      <w:r>
        <w:t xml:space="preserve">Effects</w:t>
      </w:r>
      <w:r>
        <w:t xml:space="preserve"> </w:t>
      </w:r>
      <w:r>
        <w:t xml:space="preserve">Persist</w:t>
      </w:r>
      <w:r>
        <w:t xml:space="preserve"> </w:t>
      </w:r>
      <w:r>
        <w:t xml:space="preserve">During</w:t>
      </w:r>
      <w:r>
        <w:t xml:space="preserve"> </w:t>
      </w:r>
      <w:r>
        <w:t xml:space="preserve">Written</w:t>
      </w:r>
      <w:r>
        <w:t xml:space="preserve"> </w:t>
      </w:r>
      <w:r>
        <w:t xml:space="preserve">Word</w:t>
      </w:r>
      <w:r>
        <w:t xml:space="preserve"> </w:t>
      </w:r>
      <w:r>
        <w:t xml:space="preserve">Production</w:t>
      </w:r>
      <w:r>
        <w:t xml:space="preserve">.</w:t>
      </w:r>
      <w:r>
        <w:t xml:space="preserve"> </w:t>
      </w:r>
      <w:r>
        <w:rPr>
          <w:i/>
          <w:iCs/>
        </w:rPr>
        <w:t xml:space="preserve">Frontiers in Psychology</w:t>
      </w:r>
      <w:r>
        <w:t xml:space="preserve">,</w:t>
      </w:r>
      <w:r>
        <w:t xml:space="preserve"> </w:t>
      </w:r>
      <w:r>
        <w:rPr>
          <w:i/>
          <w:iCs/>
        </w:rPr>
        <w:t xml:space="preserve">12</w:t>
      </w:r>
      <w:r>
        <w:t xml:space="preserve">, 647362. http://doi.org/</w:t>
      </w:r>
      <w:hyperlink r:id="rId124">
        <w:r>
          <w:rPr>
            <w:rStyle w:val="Hyperlink"/>
          </w:rPr>
          <w:t xml:space="preserve">10.3389/fpsyg.2021.647362</w:t>
        </w:r>
      </w:hyperlink>
    </w:p>
    <w:bookmarkEnd w:id="125"/>
    <w:bookmarkEnd w:id="126"/>
    <w:bookmarkEnd w:id="127"/>
    <w:sectPr w:rsidR="000A1916">
      <w:headerReference r:id="rId9" w:type="even"/>
      <w:headerReference r:id="rId10" w:type="default"/>
      <w:footerReference r:id="rId14" w:type="even"/>
      <w:footerReference r:id="rId12" w:type="default"/>
      <w:headerReference r:id="rId11"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Headings CS)">
    <w:altName w:val="Times New Roman"/>
    <w:panose1 w:val="020B0604020202020204"/>
    <w:charset w:val="00"/>
    <w:family w:val="roman"/>
    <w:notTrueType/>
    <w:pitch w:val="default"/>
  </w:font>
  <w:font w:name="Menlo">
    <w:panose1 w:val="020B0609030804020204"/>
    <w:charset w:val="00"/>
    <w:family w:val="modern"/>
    <w:pitch w:val="fixed"/>
    <w:sig w:usb0="E60022FF" w:usb1="D200F9FB" w:usb2="02000028" w:usb3="00000000" w:csb0="000001DF" w:csb1="00000000"/>
  </w:font>
  <w:font w:name="Latin Modern Math">
    <w:panose1 w:val="020B0604020202020204"/>
    <w:charset w:val="4D"/>
    <w:family w:val="auto"/>
    <w:notTrueType/>
    <w:pitch w:val="variable"/>
    <w:sig w:usb0="A00000EF" w:usb1="4201F9EE" w:usb2="02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00F741" w14:textId="77777777" w:rsidR="002C311A" w:rsidRDefault="002C31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7EB31" w14:textId="77777777" w:rsidR="002C311A" w:rsidRDefault="002C311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3DBD55" w14:textId="77777777" w:rsidR="002C311A" w:rsidRDefault="002C311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6432692"/>
      <w:docPartObj>
        <w:docPartGallery w:val="Page Numbers (Top of Page)"/>
        <w:docPartUnique/>
      </w:docPartObj>
    </w:sdtPr>
    <w:sdtContent>
      <w:p w14:paraId="1B7189D0" w14:textId="5317051A"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B11F85B" w14:textId="77777777" w:rsidR="00290DEA" w:rsidRDefault="00290DEA" w:rsidP="00290DEA">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32060013"/>
      <w:docPartObj>
        <w:docPartGallery w:val="Page Numbers (Top of Page)"/>
        <w:docPartUnique/>
      </w:docPartObj>
    </w:sdtPr>
    <w:sdtContent>
      <w:p w14:paraId="0C16CAE1" w14:textId="254DEFC2"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596FF76" w14:textId="1D3D77AF" w:rsidR="004C1A18" w:rsidRPr="00023D74" w:rsidRDefault="004C1A18" w:rsidP="00290DEA">
    <w:pPr>
      <w:pStyle w:val="Header"/>
      <w:rPr>
        <w:rFonts w:ascii="Times New Roman" w:hAnsi="Times New Roman" w:cs="Times New Roman"/>
      </w:rPr>
    </w:pPr>
    <w:r w:rsidRPr="00023D74">
      <w:rPr>
        <w:rFonts w:ascii="Times New Roman" w:hAnsi="Times New Roman" w:cs="Times New Roman"/>
      </w:rPr>
      <w:t xml:space="preserve">Running head: </w:t>
    </w:r>
    <w:r w:rsidR="002C311A">
      <w:rPr>
        <w:rFonts w:ascii="Times New Roman" w:hAnsi="Times New Roman" w:cs="Times New Roman"/>
      </w:rPr>
      <w:t>SHORT TITLE HERE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AA54CF" w14:textId="77777777" w:rsidR="002C311A" w:rsidRDefault="002C311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D4F4197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AC3AB828"/>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5F84CD7A"/>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F0C844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09E86D9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404026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55A89A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C630A04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B17A3A2C"/>
    <w:lvl w:ilvl="0">
      <w:start w:val="1"/>
      <w:numFmt w:val="decimal"/>
      <w:pStyle w:val="ListNumber"/>
      <w:lvlText w:val="%1."/>
      <w:lvlJc w:val="left"/>
      <w:pPr>
        <w:tabs>
          <w:tab w:pos="360" w:val="num"/>
        </w:tabs>
        <w:ind w:hanging="360" w:left="360"/>
      </w:pPr>
    </w:lvl>
  </w:abstractNum>
  <w:abstractNum w15:restartNumberingAfterBreak="0" w:abstractNumId="9">
    <w:nsid w:val="FFFFFF89"/>
    <w:multiLevelType w:val="singleLevel"/>
    <w:tmpl w:val="0A9ED114"/>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BE78AE6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1D546B9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E60CFEF6"/>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36818034" w:numId="1">
    <w:abstractNumId w:val="10"/>
  </w:num>
  <w:num w16cid:durableId="1430615699" w:numId="2">
    <w:abstractNumId w:val="11"/>
  </w:num>
  <w:num w16cid:durableId="423956392"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33340740" w:numId="4">
    <w:abstractNumId w:val="0"/>
  </w:num>
  <w:num w16cid:durableId="681664215" w:numId="5">
    <w:abstractNumId w:val="1"/>
  </w:num>
  <w:num w16cid:durableId="2134327961" w:numId="6">
    <w:abstractNumId w:val="2"/>
  </w:num>
  <w:num w16cid:durableId="41253893" w:numId="7">
    <w:abstractNumId w:val="3"/>
  </w:num>
  <w:num w16cid:durableId="1224833452" w:numId="8">
    <w:abstractNumId w:val="8"/>
  </w:num>
  <w:num w16cid:durableId="932586503" w:numId="9">
    <w:abstractNumId w:val="4"/>
  </w:num>
  <w:num w16cid:durableId="520899331" w:numId="10">
    <w:abstractNumId w:val="5"/>
  </w:num>
  <w:num w16cid:durableId="1534541487" w:numId="11">
    <w:abstractNumId w:val="6"/>
  </w:num>
  <w:num w16cid:durableId="1795981238" w:numId="12">
    <w:abstractNumId w:val="7"/>
  </w:num>
  <w:num w16cid:durableId="858474234" w:numId="13">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11"/>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0A1916"/>
    <w:rsid w:val="00011C3A"/>
    <w:rsid w:val="00023D74"/>
    <w:rsid w:val="00097FD6"/>
    <w:rsid w:val="000A1916"/>
    <w:rsid w:val="001174EB"/>
    <w:rsid w:val="001631B2"/>
    <w:rsid w:val="001C4873"/>
    <w:rsid w:val="001C626F"/>
    <w:rsid w:val="00215E0D"/>
    <w:rsid w:val="0027256D"/>
    <w:rsid w:val="00290DEA"/>
    <w:rsid w:val="002B1C5D"/>
    <w:rsid w:val="002C311A"/>
    <w:rsid w:val="002E0C29"/>
    <w:rsid w:val="002F6096"/>
    <w:rsid w:val="00341B61"/>
    <w:rsid w:val="003542B5"/>
    <w:rsid w:val="0035639C"/>
    <w:rsid w:val="00381288"/>
    <w:rsid w:val="00390026"/>
    <w:rsid w:val="00392534"/>
    <w:rsid w:val="00393162"/>
    <w:rsid w:val="004042C7"/>
    <w:rsid w:val="004C1A18"/>
    <w:rsid w:val="004C4444"/>
    <w:rsid w:val="00503EF3"/>
    <w:rsid w:val="0051746C"/>
    <w:rsid w:val="00532419"/>
    <w:rsid w:val="005A17EF"/>
    <w:rsid w:val="005E75E9"/>
    <w:rsid w:val="00604451"/>
    <w:rsid w:val="0066552A"/>
    <w:rsid w:val="006912BD"/>
    <w:rsid w:val="00726A53"/>
    <w:rsid w:val="00753E5C"/>
    <w:rsid w:val="00763C46"/>
    <w:rsid w:val="00777267"/>
    <w:rsid w:val="007B090F"/>
    <w:rsid w:val="007E1D7A"/>
    <w:rsid w:val="0083718B"/>
    <w:rsid w:val="00843E9B"/>
    <w:rsid w:val="00862595"/>
    <w:rsid w:val="00887D0D"/>
    <w:rsid w:val="008C750E"/>
    <w:rsid w:val="00912EAA"/>
    <w:rsid w:val="009805CD"/>
    <w:rsid w:val="009D0313"/>
    <w:rsid w:val="009E1855"/>
    <w:rsid w:val="009F3262"/>
    <w:rsid w:val="00A2217C"/>
    <w:rsid w:val="00A4272F"/>
    <w:rsid w:val="00A56317"/>
    <w:rsid w:val="00AC443E"/>
    <w:rsid w:val="00AE4939"/>
    <w:rsid w:val="00B80338"/>
    <w:rsid w:val="00BF4EE0"/>
    <w:rsid w:val="00C03A89"/>
    <w:rsid w:val="00C075EB"/>
    <w:rsid w:val="00C15D05"/>
    <w:rsid w:val="00C5589F"/>
    <w:rsid w:val="00C71DE1"/>
    <w:rsid w:val="00D5766C"/>
    <w:rsid w:val="00D83753"/>
    <w:rsid w:val="00DB32D8"/>
    <w:rsid w:val="00DE26B3"/>
    <w:rsid w:val="00EE4E0C"/>
    <w:rsid w:val="00EE77C7"/>
    <w:rsid w:val="00F12108"/>
    <w:rsid w:val="00F61084"/>
    <w:rsid w:val="00FC45A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FC45A1"/>
    <w:pPr>
      <w:keepNext/>
      <w:keepLines/>
      <w:spacing w:after="240"/>
      <w:jc w:val="center"/>
      <w:outlineLvl w:val="0"/>
    </w:pPr>
    <w:rPr>
      <w:rFonts w:ascii="Times New Roman" w:cstheme="majorBidi" w:eastAsiaTheme="majorEastAsia" w:hAnsi="Times New Roman"/>
      <w:b/>
      <w:bCs/>
      <w:color w:themeColor="text1" w:val="000000"/>
      <w:szCs w:val="32"/>
    </w:rPr>
  </w:style>
  <w:style w:styleId="Heading2" w:type="paragraph">
    <w:name w:val="heading 2"/>
    <w:basedOn w:val="Normal"/>
    <w:next w:val="BodyText"/>
    <w:uiPriority w:val="9"/>
    <w:unhideWhenUsed/>
    <w:qFormat/>
    <w:rsid w:val="00F12108"/>
    <w:pPr>
      <w:keepNext/>
      <w:keepLines/>
      <w:spacing w:after="0" w:before="200" w:line="480" w:lineRule="auto"/>
      <w:outlineLvl w:val="1"/>
    </w:pPr>
    <w:rPr>
      <w:rFonts w:ascii="Times New Roman" w:cstheme="majorBidi" w:eastAsiaTheme="majorEastAsia" w:hAnsi="Times New Roman"/>
      <w:b/>
      <w:bCs/>
      <w:color w:themeColor="text1" w:val="000000"/>
      <w:szCs w:val="28"/>
    </w:rPr>
  </w:style>
  <w:style w:styleId="Heading3" w:type="paragraph">
    <w:name w:val="heading 3"/>
    <w:basedOn w:val="Normal"/>
    <w:next w:val="BodyText"/>
    <w:uiPriority w:val="9"/>
    <w:unhideWhenUsed/>
    <w:qFormat/>
    <w:rsid w:val="00F12108"/>
    <w:pPr>
      <w:keepNext/>
      <w:keepLines/>
      <w:spacing w:after="0" w:line="480" w:lineRule="auto"/>
      <w:outlineLvl w:val="2"/>
    </w:pPr>
    <w:rPr>
      <w:rFonts w:ascii="Times New Roman" w:cstheme="majorBidi" w:eastAsiaTheme="majorEastAsia" w:hAnsi="Times New Roman"/>
      <w:b/>
      <w:bCs/>
      <w:i/>
      <w:color w:themeColor="text1" w:val="000000"/>
    </w:rPr>
  </w:style>
  <w:style w:styleId="Heading4" w:type="paragraph">
    <w:name w:val="heading 4"/>
    <w:basedOn w:val="Normal"/>
    <w:next w:val="BodyText"/>
    <w:uiPriority w:val="9"/>
    <w:unhideWhenUsed/>
    <w:qFormat/>
    <w:rsid w:val="00F12108"/>
    <w:pPr>
      <w:keepNext/>
      <w:keepLines/>
      <w:spacing w:after="0" w:line="480" w:lineRule="auto"/>
      <w:ind w:left="432"/>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aliases w:val="affiliation"/>
    <w:basedOn w:val="Normal"/>
    <w:next w:val="BodyText"/>
    <w:uiPriority w:val="9"/>
    <w:unhideWhenUsed/>
    <w:qFormat/>
    <w:rsid w:val="002E0C29"/>
    <w:pPr>
      <w:keepNext/>
      <w:keepLines/>
      <w:spacing w:after="0" w:before="200"/>
      <w:jc w:val="center"/>
      <w:outlineLvl w:val="8"/>
    </w:pPr>
    <w:rPr>
      <w:rFonts w:ascii="Times New Roman" w:cs="Times New Roman (Headings CS)" w:eastAsiaTheme="majorEastAsia" w:hAnsi="Times New Roman"/>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C626F"/>
    <w:pPr>
      <w:spacing w:after="0" w:line="480" w:lineRule="auto"/>
      <w:ind w:firstLine="432"/>
    </w:pPr>
    <w:rPr>
      <w:rFonts w:ascii="Times New Roman" w:hAnsi="Times New Roman"/>
    </w:rPr>
  </w:style>
  <w:style w:customStyle="1" w:styleId="FirstParagraph" w:type="paragraph">
    <w:name w:val="First Paragraph"/>
    <w:basedOn w:val="BodyText"/>
    <w:next w:val="BodyText"/>
    <w:qFormat/>
    <w:rsid w:val="006912BD"/>
  </w:style>
  <w:style w:customStyle="1" w:styleId="Compact" w:type="paragraph">
    <w:name w:val="Compact"/>
    <w:basedOn w:val="BodyText"/>
    <w:qFormat/>
    <w:rsid w:val="007B090F"/>
    <w:pPr>
      <w:spacing w:after="36" w:before="36" w:line="240" w:lineRule="auto"/>
      <w:ind w:firstLine="0"/>
    </w:pPr>
  </w:style>
  <w:style w:styleId="Title" w:type="paragraph">
    <w:name w:val="Title"/>
    <w:basedOn w:val="Normal"/>
    <w:next w:val="BodyText"/>
    <w:qFormat/>
    <w:rsid w:val="00C15D05"/>
    <w:pPr>
      <w:keepNext/>
      <w:keepLines/>
      <w:spacing w:after="240"/>
      <w:jc w:val="center"/>
    </w:pPr>
    <w:rPr>
      <w:rFonts w:ascii="Times New Roman" w:cstheme="majorBidi" w:eastAsiaTheme="majorEastAsia" w:hAnsi="Times New Roman"/>
      <w:bCs/>
      <w:color w:themeColor="text1" w:val="000000"/>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BF4EE0"/>
    <w:pPr>
      <w:keepNext/>
      <w:keepLines/>
      <w:spacing w:after="0"/>
      <w:jc w:val="center"/>
    </w:pPr>
    <w:rPr>
      <w:rFonts w:ascii="Times New Roman" w:hAnsi="Times New Roman"/>
    </w:rPr>
  </w:style>
  <w:style w:styleId="Date" w:type="paragraph">
    <w:name w:val="Date"/>
    <w:next w:val="BodyText"/>
    <w:qFormat/>
    <w:rsid w:val="004C4444"/>
    <w:pPr>
      <w:keepNext/>
      <w:keepLines/>
      <w:spacing w:after="240" w:line="480" w:lineRule="auto"/>
      <w:jc w:val="center"/>
    </w:pPr>
    <w:rPr>
      <w:rFonts w:ascii="Times New Roman" w:hAnsi="Times New Roman"/>
    </w:rPr>
  </w:style>
  <w:style w:customStyle="1" w:styleId="Abstract" w:type="paragraph">
    <w:name w:val="Abstract"/>
    <w:basedOn w:val="Normal"/>
    <w:next w:val="BodyText"/>
    <w:qFormat/>
    <w:rsid w:val="009F3262"/>
    <w:pPr>
      <w:keepNext/>
      <w:keepLines/>
      <w:spacing w:after="0" w:line="480" w:lineRule="auto"/>
      <w:ind w:firstLine="432"/>
    </w:pPr>
    <w:rPr>
      <w:rFonts w:ascii="Times New Roman" w:hAnsi="Times New Roman"/>
      <w:szCs w:val="20"/>
    </w:rPr>
  </w:style>
  <w:style w:styleId="Bibliography" w:type="paragraph">
    <w:name w:val="Bibliography"/>
    <w:basedOn w:val="Normal"/>
    <w:qFormat/>
    <w:rsid w:val="00FC45A1"/>
    <w:pPr>
      <w:ind w:hanging="432" w:left="432"/>
    </w:pPr>
    <w:rPr>
      <w:rFonts w:ascii="Times New Roman" w:hAnsi="Times New Roman"/>
    </w:rPr>
  </w:style>
  <w:style w:styleId="BlockText" w:type="paragraph">
    <w:name w:val="Block Text"/>
    <w:basedOn w:val="BodyText"/>
    <w:next w:val="BodyText"/>
    <w:uiPriority w:val="9"/>
    <w:unhideWhenUsed/>
    <w:qFormat/>
    <w:rsid w:val="00887D0D"/>
    <w:pPr>
      <w:spacing w:after="240" w:before="120" w:line="240" w:lineRule="auto"/>
      <w:ind w:firstLine="0" w:left="475" w:right="475"/>
    </w:pPr>
  </w:style>
  <w:style w:styleId="FootnoteText" w:type="paragraph">
    <w:name w:val="footnote text"/>
    <w:basedOn w:val="Normal"/>
    <w:uiPriority w:val="9"/>
    <w:unhideWhenUsed/>
    <w:qFormat/>
    <w:rsid w:val="00D5766C"/>
    <w:pPr>
      <w:spacing w:after="0"/>
    </w:pPr>
    <w:rPr>
      <w:rFonts w:ascii="Times New Roman" w:hAnsi="Times New Roman"/>
      <w:sz w:val="21"/>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011C3A"/>
    <w:pPr>
      <w:keepNext/>
    </w:pPr>
    <w:rPr>
      <w:rFonts w:ascii="Times New Roman" w:hAnsi="Times New Roman"/>
    </w:rPr>
  </w:style>
  <w:style w:customStyle="1" w:styleId="ImageCaption" w:type="paragraph">
    <w:name w:val="Image Caption"/>
    <w:basedOn w:val="Caption"/>
    <w:rsid w:val="00912EAA"/>
    <w:pPr>
      <w:spacing w:after="300"/>
    </w:pPr>
    <w:rPr>
      <w:rFonts w:ascii="Times New Roman" w:hAnsi="Times New Roman"/>
    </w:rPr>
  </w:style>
  <w:style w:customStyle="1" w:styleId="Figure" w:type="paragraph">
    <w:name w:val="Figure"/>
    <w:basedOn w:val="Normal"/>
    <w:rsid w:val="001631B2"/>
    <w:rPr>
      <w:rFonts w:ascii="Times New Roman" w:hAnsi="Times New Roman"/>
      <w:i/>
    </w:rPr>
  </w:style>
  <w:style w:customStyle="1" w:styleId="CaptionedFigure" w:type="paragraph">
    <w:name w:val="Captioned Figure"/>
    <w:basedOn w:val="Figure"/>
    <w:rsid w:val="00DE26B3"/>
    <w:pPr>
      <w:keepNext/>
      <w:jc w:val="center"/>
    </w:pPr>
    <w:rPr>
      <w:i w:val="0"/>
    </w:r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011C3A"/>
    <w:rPr>
      <w:rFonts w:ascii="Menlo" w:hAnsi="Menlo"/>
      <w:sz w:val="20"/>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rsid w:val="00011C3A"/>
    <w:pPr>
      <w:shd w:color="auto" w:fill="F8F8F8" w:val="clear"/>
      <w:wordWrap w:val="0"/>
    </w:pPr>
    <w:rPr>
      <w:rFonts w:ascii="Menlo" w:hAnsi="Menlo"/>
      <w:sz w:val="20"/>
    </w:rPr>
  </w:style>
  <w:style w:customStyle="1" w:styleId="KeywordTok" w:type="character">
    <w:name w:val="KeywordTok"/>
    <w:basedOn w:val="VerbatimChar"/>
    <w:rPr>
      <w:rFonts w:ascii="Menlo" w:hAnsi="Menlo"/>
      <w:b/>
      <w:color w:val="204A87"/>
      <w:sz w:val="20"/>
      <w:shd w:color="auto" w:fill="F8F8F8" w:val="clear"/>
    </w:rPr>
  </w:style>
  <w:style w:customStyle="1" w:styleId="DataTypeTok" w:type="character">
    <w:name w:val="DataTypeTok"/>
    <w:basedOn w:val="VerbatimChar"/>
    <w:rPr>
      <w:rFonts w:ascii="Menlo" w:hAnsi="Menlo"/>
      <w:color w:val="204A87"/>
      <w:sz w:val="20"/>
      <w:shd w:color="auto" w:fill="F8F8F8" w:val="clear"/>
    </w:rPr>
  </w:style>
  <w:style w:customStyle="1" w:styleId="DecValTok" w:type="character">
    <w:name w:val="DecValTok"/>
    <w:basedOn w:val="VerbatimChar"/>
    <w:rPr>
      <w:rFonts w:ascii="Menlo" w:hAnsi="Menlo"/>
      <w:color w:val="0000CF"/>
      <w:sz w:val="20"/>
      <w:shd w:color="auto" w:fill="F8F8F8" w:val="clear"/>
    </w:rPr>
  </w:style>
  <w:style w:customStyle="1" w:styleId="BaseNTok" w:type="character">
    <w:name w:val="BaseNTok"/>
    <w:basedOn w:val="VerbatimChar"/>
    <w:rPr>
      <w:rFonts w:ascii="Menlo" w:hAnsi="Menlo"/>
      <w:color w:val="0000CF"/>
      <w:sz w:val="20"/>
      <w:shd w:color="auto" w:fill="F8F8F8" w:val="clear"/>
    </w:rPr>
  </w:style>
  <w:style w:customStyle="1" w:styleId="FloatTok" w:type="character">
    <w:name w:val="FloatTok"/>
    <w:basedOn w:val="VerbatimChar"/>
    <w:rPr>
      <w:rFonts w:ascii="Menlo" w:hAnsi="Menlo"/>
      <w:color w:val="0000CF"/>
      <w:sz w:val="20"/>
      <w:shd w:color="auto" w:fill="F8F8F8" w:val="clear"/>
    </w:rPr>
  </w:style>
  <w:style w:customStyle="1" w:styleId="ConstantTok" w:type="character">
    <w:name w:val="ConstantTok"/>
    <w:basedOn w:val="VerbatimChar"/>
    <w:rPr>
      <w:rFonts w:ascii="Menlo" w:hAnsi="Menlo"/>
      <w:color w:val="000000"/>
      <w:sz w:val="20"/>
      <w:shd w:color="auto" w:fill="F8F8F8" w:val="clear"/>
    </w:rPr>
  </w:style>
  <w:style w:customStyle="1" w:styleId="CharTok" w:type="character">
    <w:name w:val="CharTok"/>
    <w:basedOn w:val="VerbatimChar"/>
    <w:rPr>
      <w:rFonts w:ascii="Menlo" w:hAnsi="Menlo"/>
      <w:color w:val="4E9A06"/>
      <w:sz w:val="20"/>
      <w:shd w:color="auto" w:fill="F8F8F8" w:val="clear"/>
    </w:rPr>
  </w:style>
  <w:style w:customStyle="1" w:styleId="SpecialCharTok" w:type="character">
    <w:name w:val="SpecialCharTok"/>
    <w:basedOn w:val="VerbatimChar"/>
    <w:rPr>
      <w:rFonts w:ascii="Menlo" w:hAnsi="Menlo"/>
      <w:color w:val="000000"/>
      <w:sz w:val="20"/>
      <w:shd w:color="auto" w:fill="F8F8F8" w:val="clear"/>
    </w:rPr>
  </w:style>
  <w:style w:customStyle="1" w:styleId="StringTok" w:type="character">
    <w:name w:val="StringTok"/>
    <w:basedOn w:val="VerbatimChar"/>
    <w:rPr>
      <w:rFonts w:ascii="Menlo" w:hAnsi="Menlo"/>
      <w:color w:val="4E9A06"/>
      <w:sz w:val="20"/>
      <w:shd w:color="auto" w:fill="F8F8F8" w:val="clear"/>
    </w:rPr>
  </w:style>
  <w:style w:customStyle="1" w:styleId="VerbatimStringTok" w:type="character">
    <w:name w:val="VerbatimStringTok"/>
    <w:basedOn w:val="VerbatimChar"/>
    <w:rPr>
      <w:rFonts w:ascii="Menlo" w:hAnsi="Menlo"/>
      <w:color w:val="4E9A06"/>
      <w:sz w:val="20"/>
      <w:shd w:color="auto" w:fill="F8F8F8" w:val="clear"/>
    </w:rPr>
  </w:style>
  <w:style w:customStyle="1" w:styleId="SpecialStringTok" w:type="character">
    <w:name w:val="SpecialStringTok"/>
    <w:basedOn w:val="VerbatimChar"/>
    <w:rPr>
      <w:rFonts w:ascii="Menlo" w:hAnsi="Menlo"/>
      <w:color w:val="4E9A06"/>
      <w:sz w:val="20"/>
      <w:shd w:color="auto" w:fill="F8F8F8" w:val="clear"/>
    </w:rPr>
  </w:style>
  <w:style w:customStyle="1" w:styleId="ImportTok" w:type="character">
    <w:name w:val="ImportTok"/>
    <w:basedOn w:val="VerbatimChar"/>
    <w:rPr>
      <w:rFonts w:ascii="Menlo" w:hAnsi="Menlo"/>
      <w:sz w:val="20"/>
      <w:shd w:color="auto" w:fill="F8F8F8" w:val="clear"/>
    </w:rPr>
  </w:style>
  <w:style w:customStyle="1" w:styleId="CommentTok" w:type="character">
    <w:name w:val="CommentTok"/>
    <w:basedOn w:val="VerbatimChar"/>
    <w:rPr>
      <w:rFonts w:ascii="Menlo" w:hAnsi="Menlo"/>
      <w:i/>
      <w:color w:val="8F5902"/>
      <w:sz w:val="20"/>
      <w:shd w:color="auto" w:fill="F8F8F8" w:val="clear"/>
    </w:rPr>
  </w:style>
  <w:style w:customStyle="1" w:styleId="DocumentationTok" w:type="character">
    <w:name w:val="DocumentationTok"/>
    <w:basedOn w:val="VerbatimChar"/>
    <w:rPr>
      <w:rFonts w:ascii="Menlo" w:hAnsi="Menlo"/>
      <w:b/>
      <w:i/>
      <w:color w:val="8F5902"/>
      <w:sz w:val="20"/>
      <w:shd w:color="auto" w:fill="F8F8F8" w:val="clear"/>
    </w:rPr>
  </w:style>
  <w:style w:customStyle="1" w:styleId="AnnotationTok" w:type="character">
    <w:name w:val="AnnotationTok"/>
    <w:basedOn w:val="VerbatimChar"/>
    <w:rPr>
      <w:rFonts w:ascii="Menlo" w:hAnsi="Menlo"/>
      <w:b/>
      <w:i/>
      <w:color w:val="8F5902"/>
      <w:sz w:val="20"/>
      <w:shd w:color="auto" w:fill="F8F8F8" w:val="clear"/>
    </w:rPr>
  </w:style>
  <w:style w:customStyle="1" w:styleId="CommentVarTok" w:type="character">
    <w:name w:val="CommentVarTok"/>
    <w:basedOn w:val="VerbatimChar"/>
    <w:rPr>
      <w:rFonts w:ascii="Menlo" w:hAnsi="Menlo"/>
      <w:b/>
      <w:i/>
      <w:color w:val="8F5902"/>
      <w:sz w:val="20"/>
      <w:shd w:color="auto" w:fill="F8F8F8" w:val="clear"/>
    </w:rPr>
  </w:style>
  <w:style w:customStyle="1" w:styleId="OtherTok" w:type="character">
    <w:name w:val="OtherTok"/>
    <w:basedOn w:val="VerbatimChar"/>
    <w:rPr>
      <w:rFonts w:ascii="Menlo" w:hAnsi="Menlo"/>
      <w:color w:val="8F5902"/>
      <w:sz w:val="20"/>
      <w:shd w:color="auto" w:fill="F8F8F8" w:val="clear"/>
    </w:rPr>
  </w:style>
  <w:style w:customStyle="1" w:styleId="FunctionTok" w:type="character">
    <w:name w:val="FunctionTok"/>
    <w:basedOn w:val="VerbatimChar"/>
    <w:rPr>
      <w:rFonts w:ascii="Menlo" w:hAnsi="Menlo"/>
      <w:color w:val="000000"/>
      <w:sz w:val="20"/>
      <w:shd w:color="auto" w:fill="F8F8F8" w:val="clear"/>
    </w:rPr>
  </w:style>
  <w:style w:customStyle="1" w:styleId="VariableTok" w:type="character">
    <w:name w:val="VariableTok"/>
    <w:basedOn w:val="VerbatimChar"/>
    <w:rPr>
      <w:rFonts w:ascii="Menlo" w:hAnsi="Menlo"/>
      <w:color w:val="000000"/>
      <w:sz w:val="20"/>
      <w:shd w:color="auto" w:fill="F8F8F8" w:val="clear"/>
    </w:rPr>
  </w:style>
  <w:style w:customStyle="1" w:styleId="ControlFlowTok" w:type="character">
    <w:name w:val="ControlFlowTok"/>
    <w:basedOn w:val="VerbatimChar"/>
    <w:rPr>
      <w:rFonts w:ascii="Menlo" w:hAnsi="Menlo"/>
      <w:b/>
      <w:color w:val="204A87"/>
      <w:sz w:val="20"/>
      <w:shd w:color="auto" w:fill="F8F8F8" w:val="clear"/>
    </w:rPr>
  </w:style>
  <w:style w:customStyle="1" w:styleId="OperatorTok" w:type="character">
    <w:name w:val="OperatorTok"/>
    <w:basedOn w:val="VerbatimChar"/>
    <w:rPr>
      <w:rFonts w:ascii="Menlo" w:hAnsi="Menlo"/>
      <w:b/>
      <w:color w:val="CE5C00"/>
      <w:sz w:val="20"/>
      <w:shd w:color="auto" w:fill="F8F8F8" w:val="clear"/>
    </w:rPr>
  </w:style>
  <w:style w:customStyle="1" w:styleId="BuiltInTok" w:type="character">
    <w:name w:val="BuiltInTok"/>
    <w:basedOn w:val="VerbatimChar"/>
    <w:rPr>
      <w:rFonts w:ascii="Menlo" w:hAnsi="Menlo"/>
      <w:sz w:val="20"/>
      <w:shd w:color="auto" w:fill="F8F8F8" w:val="clear"/>
    </w:rPr>
  </w:style>
  <w:style w:customStyle="1" w:styleId="ExtensionTok" w:type="character">
    <w:name w:val="ExtensionTok"/>
    <w:basedOn w:val="VerbatimChar"/>
    <w:rPr>
      <w:rFonts w:ascii="Menlo" w:hAnsi="Menlo"/>
      <w:sz w:val="20"/>
      <w:shd w:color="auto" w:fill="F8F8F8" w:val="clear"/>
    </w:rPr>
  </w:style>
  <w:style w:customStyle="1" w:styleId="PreprocessorTok" w:type="character">
    <w:name w:val="PreprocessorTok"/>
    <w:basedOn w:val="VerbatimChar"/>
    <w:rPr>
      <w:rFonts w:ascii="Menlo" w:hAnsi="Menlo"/>
      <w:i/>
      <w:color w:val="8F5902"/>
      <w:sz w:val="20"/>
      <w:shd w:color="auto" w:fill="F8F8F8" w:val="clear"/>
    </w:rPr>
  </w:style>
  <w:style w:customStyle="1" w:styleId="AttributeTok" w:type="character">
    <w:name w:val="AttributeTok"/>
    <w:basedOn w:val="VerbatimChar"/>
    <w:rPr>
      <w:rFonts w:ascii="Menlo" w:hAnsi="Menlo"/>
      <w:color w:val="C4A000"/>
      <w:sz w:val="20"/>
      <w:shd w:color="auto" w:fill="F8F8F8" w:val="clear"/>
    </w:rPr>
  </w:style>
  <w:style w:customStyle="1" w:styleId="RegionMarkerTok" w:type="character">
    <w:name w:val="RegionMarkerTok"/>
    <w:basedOn w:val="VerbatimChar"/>
    <w:rPr>
      <w:rFonts w:ascii="Menlo" w:hAnsi="Menlo"/>
      <w:sz w:val="20"/>
      <w:shd w:color="auto" w:fill="F8F8F8" w:val="clear"/>
    </w:rPr>
  </w:style>
  <w:style w:customStyle="1" w:styleId="InformationTok" w:type="character">
    <w:name w:val="InformationTok"/>
    <w:basedOn w:val="VerbatimChar"/>
    <w:rPr>
      <w:rFonts w:ascii="Menlo" w:hAnsi="Menlo"/>
      <w:b/>
      <w:i/>
      <w:color w:val="8F5902"/>
      <w:sz w:val="20"/>
      <w:shd w:color="auto" w:fill="F8F8F8" w:val="clear"/>
    </w:rPr>
  </w:style>
  <w:style w:customStyle="1" w:styleId="WarningTok" w:type="character">
    <w:name w:val="WarningTok"/>
    <w:basedOn w:val="VerbatimChar"/>
    <w:rPr>
      <w:rFonts w:ascii="Menlo" w:hAnsi="Menlo"/>
      <w:b/>
      <w:i/>
      <w:color w:val="8F5902"/>
      <w:sz w:val="20"/>
      <w:shd w:color="auto" w:fill="F8F8F8" w:val="clear"/>
    </w:rPr>
  </w:style>
  <w:style w:customStyle="1" w:styleId="AlertTok" w:type="character">
    <w:name w:val="AlertTok"/>
    <w:basedOn w:val="VerbatimChar"/>
    <w:rPr>
      <w:rFonts w:ascii="Menlo" w:hAnsi="Menlo"/>
      <w:color w:val="EF2929"/>
      <w:sz w:val="20"/>
      <w:shd w:color="auto" w:fill="F8F8F8" w:val="clear"/>
    </w:rPr>
  </w:style>
  <w:style w:customStyle="1" w:styleId="ErrorTok" w:type="character">
    <w:name w:val="ErrorTok"/>
    <w:basedOn w:val="VerbatimChar"/>
    <w:rPr>
      <w:rFonts w:ascii="Menlo" w:hAnsi="Menlo"/>
      <w:b/>
      <w:color w:val="A40000"/>
      <w:sz w:val="20"/>
      <w:shd w:color="auto" w:fill="F8F8F8" w:val="clear"/>
    </w:rPr>
  </w:style>
  <w:style w:customStyle="1" w:styleId="NormalTok" w:type="character">
    <w:name w:val="NormalTok"/>
    <w:basedOn w:val="VerbatimChar"/>
    <w:rPr>
      <w:rFonts w:ascii="Menlo" w:hAnsi="Menlo"/>
      <w:sz w:val="20"/>
      <w:shd w:color="auto" w:fill="F8F8F8" w:val="clear"/>
    </w:rPr>
  </w:style>
  <w:style w:styleId="ListBullet" w:type="paragraph">
    <w:name w:val="List Bullet"/>
    <w:basedOn w:val="Normal"/>
    <w:semiHidden/>
    <w:unhideWhenUsed/>
    <w:rsid w:val="00011C3A"/>
    <w:pPr>
      <w:numPr>
        <w:numId w:val="13"/>
      </w:numPr>
      <w:contextualSpacing/>
    </w:pPr>
    <w:rPr>
      <w:rFonts w:ascii="Times New Roman" w:hAnsi="Times New Roman"/>
    </w:rPr>
  </w:style>
  <w:style w:customStyle="1" w:styleId="BodyTextChar" w:type="character">
    <w:name w:val="Body Text Char"/>
    <w:basedOn w:val="DefaultParagraphFont"/>
    <w:link w:val="BodyText"/>
    <w:rsid w:val="001C626F"/>
    <w:rPr>
      <w:rFonts w:ascii="Times New Roman" w:hAnsi="Times New Roman"/>
    </w:rPr>
  </w:style>
  <w:style w:styleId="ListNumber" w:type="paragraph">
    <w:name w:val="List Number"/>
    <w:basedOn w:val="Normal"/>
    <w:semiHidden/>
    <w:unhideWhenUsed/>
    <w:rsid w:val="00011C3A"/>
    <w:pPr>
      <w:numPr>
        <w:numId w:val="8"/>
      </w:numPr>
      <w:contextualSpacing/>
    </w:pPr>
    <w:rPr>
      <w:rFonts w:ascii="Times New Roman" w:hAnsi="Times New Roman"/>
    </w:rPr>
  </w:style>
  <w:style w:styleId="PageNumber" w:type="character">
    <w:name w:val="page number"/>
    <w:basedOn w:val="DefaultParagraphFont"/>
    <w:semiHidden/>
    <w:unhideWhenUsed/>
    <w:rsid w:val="00011C3A"/>
    <w:rPr>
      <w:rFonts w:ascii="Times New Roman" w:hAnsi="Times New Roman"/>
      <w:b w:val="0"/>
      <w:i w:val="0"/>
      <w:sz w:val="24"/>
    </w:rPr>
  </w:style>
  <w:style w:styleId="Header" w:type="paragraph">
    <w:name w:val="header"/>
    <w:basedOn w:val="Normal"/>
    <w:link w:val="HeaderChar"/>
    <w:unhideWhenUsed/>
    <w:rsid w:val="004C1A18"/>
    <w:pPr>
      <w:tabs>
        <w:tab w:pos="4680" w:val="center"/>
        <w:tab w:pos="9360" w:val="right"/>
      </w:tabs>
      <w:spacing w:after="0"/>
    </w:pPr>
  </w:style>
  <w:style w:customStyle="1" w:styleId="HeaderChar" w:type="character">
    <w:name w:val="Header Char"/>
    <w:basedOn w:val="DefaultParagraphFont"/>
    <w:link w:val="Header"/>
    <w:rsid w:val="004C1A18"/>
  </w:style>
  <w:style w:styleId="Footer" w:type="paragraph">
    <w:name w:val="footer"/>
    <w:basedOn w:val="Normal"/>
    <w:link w:val="FooterChar"/>
    <w:unhideWhenUsed/>
    <w:rsid w:val="004C1A18"/>
    <w:pPr>
      <w:tabs>
        <w:tab w:pos="4680" w:val="center"/>
        <w:tab w:pos="9360" w:val="right"/>
      </w:tabs>
      <w:spacing w:after="0"/>
    </w:pPr>
  </w:style>
  <w:style w:customStyle="1" w:styleId="FooterChar" w:type="character">
    <w:name w:val="Footer Char"/>
    <w:basedOn w:val="DefaultParagraphFont"/>
    <w:link w:val="Footer"/>
    <w:rsid w:val="004C1A18"/>
  </w:style>
  <w:style w:customStyle="1" w:styleId="Abstractheading" w:type="paragraph">
    <w:name w:val="Abstract heading"/>
    <w:basedOn w:val="Heading1"/>
    <w:qFormat/>
    <w:rsid w:val="00DB32D8"/>
    <w:rPr>
      <w:rFonts w:cs="Times New Roman (Headings CS)"/>
      <w:b w:val="0"/>
    </w:rPr>
  </w:style>
  <w:style w:customStyle="1" w:styleId="Title2" w:type="paragraph">
    <w:name w:val="Title2"/>
    <w:basedOn w:val="Title"/>
    <w:qFormat/>
    <w:rsid w:val="002B1C5D"/>
    <w:pPr>
      <w:spacing w:after="360"/>
    </w:pPr>
  </w:style>
  <w:style w:customStyle="1" w:styleId="math" w:type="paragraph">
    <w:name w:val="math"/>
    <w:basedOn w:val="BodyText"/>
    <w:qFormat/>
    <w:rsid w:val="00AC443E"/>
    <w:rPr>
      <w:rFonts w:ascii="Latin Modern Math" w:hAnsi="Latin Modern Math"/>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header3.xml" Type="http://schemas.openxmlformats.org/officeDocument/2006/relationships/header" /><Relationship Id="rId12" Target="footer2.xml" Type="http://schemas.openxmlformats.org/officeDocument/2006/relationships/footer" /><Relationship Id="rId13" Target="footer3.xml" Type="http://schemas.openxmlformats.org/officeDocument/2006/relationships/footer" /><Relationship Id="rId14" Target="footer1.xml" Type="http://schemas.openxmlformats.org/officeDocument/2006/relationships/footer" /><Relationship Type="http://schemas.openxmlformats.org/officeDocument/2006/relationships/hyperlink" Id="rId85" Target="https://doi.org/10.1016/j.actpsy.2008.03.010" TargetMode="External" /><Relationship Type="http://schemas.openxmlformats.org/officeDocument/2006/relationships/hyperlink" Id="rId111" Target="https://doi.org/10.1016/j.actpsy.2017.08.008" TargetMode="External" /><Relationship Type="http://schemas.openxmlformats.org/officeDocument/2006/relationships/hyperlink" Id="rId66" Target="https://doi.org/10.1016/j.jml.2009.12.003" TargetMode="External" /><Relationship Type="http://schemas.openxmlformats.org/officeDocument/2006/relationships/hyperlink" Id="rId105" Target="https://doi.org/10.1016/j.jml.2012.12.003" TargetMode="External" /><Relationship Type="http://schemas.openxmlformats.org/officeDocument/2006/relationships/hyperlink" Id="rId68" Target="https://doi.org/10.1017/S1366728902003012" TargetMode="External" /><Relationship Type="http://schemas.openxmlformats.org/officeDocument/2006/relationships/hyperlink" Id="rId42" Target="https://doi.org/10.1017/S1366728911000460" TargetMode="External" /><Relationship Type="http://schemas.openxmlformats.org/officeDocument/2006/relationships/hyperlink" Id="rId71" Target="https://doi.org/10.1017/S1366728913000722" TargetMode="External" /><Relationship Type="http://schemas.openxmlformats.org/officeDocument/2006/relationships/hyperlink" Id="rId58" Target="https://doi.org/10.1017/S1366728921000511" TargetMode="External" /><Relationship Type="http://schemas.openxmlformats.org/officeDocument/2006/relationships/hyperlink" Id="rId99" Target="https://doi.org/10.1017/S1366728922000037" TargetMode="External" /><Relationship Type="http://schemas.openxmlformats.org/officeDocument/2006/relationships/hyperlink" Id="rId44" Target="https://doi.org/10.1017/S1366728922000062" TargetMode="External" /><Relationship Type="http://schemas.openxmlformats.org/officeDocument/2006/relationships/hyperlink" Id="rId120" Target="https://doi.org/10.1017/S1366728923000949" TargetMode="External" /><Relationship Type="http://schemas.openxmlformats.org/officeDocument/2006/relationships/hyperlink" Id="rId83" Target="https://doi.org/10.1017/S1366728924000270" TargetMode="External" /><Relationship Type="http://schemas.openxmlformats.org/officeDocument/2006/relationships/hyperlink" Id="rId77" Target="https://doi.org/10.1017/S1366728925000410" TargetMode="External" /><Relationship Type="http://schemas.openxmlformats.org/officeDocument/2006/relationships/hyperlink" Id="rId54" Target="https://doi.org/10.1037/xlm0000065" TargetMode="External" /><Relationship Type="http://schemas.openxmlformats.org/officeDocument/2006/relationships/hyperlink" Id="rId79" Target="https://doi.org/10.1038/s41598-021-92259-z" TargetMode="External" /><Relationship Type="http://schemas.openxmlformats.org/officeDocument/2006/relationships/hyperlink" Id="rId52" Target="https://doi.org/10.1075/lab.18095.car" TargetMode="External" /><Relationship Type="http://schemas.openxmlformats.org/officeDocument/2006/relationships/hyperlink" Id="rId95" Target="https://doi.org/10.1075/lab.21016.lij" TargetMode="External" /><Relationship Type="http://schemas.openxmlformats.org/officeDocument/2006/relationships/hyperlink" Id="rId48" Target="https://doi.org/10.1075/sibil.46.06bar" TargetMode="External" /><Relationship Type="http://schemas.openxmlformats.org/officeDocument/2006/relationships/hyperlink" Id="rId91" Target="https://doi.org/10.1080/01690960444000007" TargetMode="External" /><Relationship Type="http://schemas.openxmlformats.org/officeDocument/2006/relationships/hyperlink" Id="rId103" Target="https://doi.org/10.1080/13670050.2017.1325834" TargetMode="External" /><Relationship Type="http://schemas.openxmlformats.org/officeDocument/2006/relationships/hyperlink" Id="rId73" Target="https://doi.org/10.1080/14640749308401062" TargetMode="External" /><Relationship Type="http://schemas.openxmlformats.org/officeDocument/2006/relationships/hyperlink" Id="rId97" Target="https://doi.org/10.1111/1467-9922.00032" TargetMode="External" /><Relationship Type="http://schemas.openxmlformats.org/officeDocument/2006/relationships/hyperlink" Id="rId122" Target="https://doi.org/10.1111/j.1467-9922.2009.00519.x" TargetMode="External" /><Relationship Type="http://schemas.openxmlformats.org/officeDocument/2006/relationships/hyperlink" Id="rId50" Target="https://doi.org/10.1111/lang.12200" TargetMode="External" /><Relationship Type="http://schemas.openxmlformats.org/officeDocument/2006/relationships/hyperlink" Id="rId46" Target="https://doi.org/10.1177/0267658307080557" TargetMode="External" /><Relationship Type="http://schemas.openxmlformats.org/officeDocument/2006/relationships/hyperlink" Id="rId113" Target="https://doi.org/10.1177/0267658318809147" TargetMode="External" /><Relationship Type="http://schemas.openxmlformats.org/officeDocument/2006/relationships/hyperlink" Id="rId93" Target="https://doi.org/10.1177/02676583221128525" TargetMode="External" /><Relationship Type="http://schemas.openxmlformats.org/officeDocument/2006/relationships/hyperlink" Id="rId109" Target="https://doi.org/10.1177/1367006912472262" TargetMode="External" /><Relationship Type="http://schemas.openxmlformats.org/officeDocument/2006/relationships/hyperlink" Id="rId101" Target="https://doi.org/10.1177/17470218231164373" TargetMode="External" /><Relationship Type="http://schemas.openxmlformats.org/officeDocument/2006/relationships/hyperlink" Id="rId56" Target="https://doi.org/10.1371/journal.pone.0134008" TargetMode="External" /><Relationship Type="http://schemas.openxmlformats.org/officeDocument/2006/relationships/hyperlink" Id="rId118" Target="https://doi.org/10.14746/ssllt.2011.1.2.2" TargetMode="External" /><Relationship Type="http://schemas.openxmlformats.org/officeDocument/2006/relationships/hyperlink" Id="rId64" Target="https://doi.org/10.2307/jj.27710839" TargetMode="External" /><Relationship Type="http://schemas.openxmlformats.org/officeDocument/2006/relationships/hyperlink" Id="rId124" Target="https://doi.org/10.3389/fpsyg.2021.647362" TargetMode="External" /><Relationship Type="http://schemas.openxmlformats.org/officeDocument/2006/relationships/hyperlink" Id="rId81" Target="https://doi.org/10.3389/fpsyg.2022.892822" TargetMode="External" /><Relationship Type="http://schemas.openxmlformats.org/officeDocument/2006/relationships/hyperlink" Id="rId75" Target="https://doi.org/10.3390/languages9100310" TargetMode="External" /><Relationship Type="http://schemas.openxmlformats.org/officeDocument/2006/relationships/hyperlink" Id="rId89" Target="https://doi.org/10.3758/s13428-011-0146-0" TargetMode="External" /><Relationship Type="http://schemas.openxmlformats.org/officeDocument/2006/relationships/hyperlink" Id="rId107" Target="https://doi.org/10.3758/s13428-018-01193-y" TargetMode="External" /><Relationship Type="http://schemas.openxmlformats.org/officeDocument/2006/relationships/hyperlink" Id="rId60" Target="https://doi.org/10.3758/s13428-022-01985-3" TargetMode="External" /><Relationship Type="http://schemas.openxmlformats.org/officeDocument/2006/relationships/hyperlink" Id="rId40" Target="https://matrix.aesla.org.es/RAEL/article/view/313" TargetMode="External" /></Relationships>
</file>

<file path=word/_rels/footnotes.xml.rels><?xml version="1.0" encoding="UTF-8"?><Relationships xmlns="http://schemas.openxmlformats.org/package/2006/relationships"><Relationship Type="http://schemas.openxmlformats.org/officeDocument/2006/relationships/hyperlink" Id="rId85" Target="https://doi.org/10.1016/j.actpsy.2008.03.010" TargetMode="External" /><Relationship Type="http://schemas.openxmlformats.org/officeDocument/2006/relationships/hyperlink" Id="rId111" Target="https://doi.org/10.1016/j.actpsy.2017.08.008" TargetMode="External" /><Relationship Type="http://schemas.openxmlformats.org/officeDocument/2006/relationships/hyperlink" Id="rId66" Target="https://doi.org/10.1016/j.jml.2009.12.003" TargetMode="External" /><Relationship Type="http://schemas.openxmlformats.org/officeDocument/2006/relationships/hyperlink" Id="rId105" Target="https://doi.org/10.1016/j.jml.2012.12.003" TargetMode="External" /><Relationship Type="http://schemas.openxmlformats.org/officeDocument/2006/relationships/hyperlink" Id="rId68" Target="https://doi.org/10.1017/S1366728902003012" TargetMode="External" /><Relationship Type="http://schemas.openxmlformats.org/officeDocument/2006/relationships/hyperlink" Id="rId42" Target="https://doi.org/10.1017/S1366728911000460" TargetMode="External" /><Relationship Type="http://schemas.openxmlformats.org/officeDocument/2006/relationships/hyperlink" Id="rId71" Target="https://doi.org/10.1017/S1366728913000722" TargetMode="External" /><Relationship Type="http://schemas.openxmlformats.org/officeDocument/2006/relationships/hyperlink" Id="rId58" Target="https://doi.org/10.1017/S1366728921000511" TargetMode="External" /><Relationship Type="http://schemas.openxmlformats.org/officeDocument/2006/relationships/hyperlink" Id="rId99" Target="https://doi.org/10.1017/S1366728922000037" TargetMode="External" /><Relationship Type="http://schemas.openxmlformats.org/officeDocument/2006/relationships/hyperlink" Id="rId44" Target="https://doi.org/10.1017/S1366728922000062" TargetMode="External" /><Relationship Type="http://schemas.openxmlformats.org/officeDocument/2006/relationships/hyperlink" Id="rId120" Target="https://doi.org/10.1017/S1366728923000949" TargetMode="External" /><Relationship Type="http://schemas.openxmlformats.org/officeDocument/2006/relationships/hyperlink" Id="rId83" Target="https://doi.org/10.1017/S1366728924000270" TargetMode="External" /><Relationship Type="http://schemas.openxmlformats.org/officeDocument/2006/relationships/hyperlink" Id="rId77" Target="https://doi.org/10.1017/S1366728925000410" TargetMode="External" /><Relationship Type="http://schemas.openxmlformats.org/officeDocument/2006/relationships/hyperlink" Id="rId54" Target="https://doi.org/10.1037/xlm0000065" TargetMode="External" /><Relationship Type="http://schemas.openxmlformats.org/officeDocument/2006/relationships/hyperlink" Id="rId79" Target="https://doi.org/10.1038/s41598-021-92259-z" TargetMode="External" /><Relationship Type="http://schemas.openxmlformats.org/officeDocument/2006/relationships/hyperlink" Id="rId52" Target="https://doi.org/10.1075/lab.18095.car" TargetMode="External" /><Relationship Type="http://schemas.openxmlformats.org/officeDocument/2006/relationships/hyperlink" Id="rId95" Target="https://doi.org/10.1075/lab.21016.lij" TargetMode="External" /><Relationship Type="http://schemas.openxmlformats.org/officeDocument/2006/relationships/hyperlink" Id="rId48" Target="https://doi.org/10.1075/sibil.46.06bar" TargetMode="External" /><Relationship Type="http://schemas.openxmlformats.org/officeDocument/2006/relationships/hyperlink" Id="rId91" Target="https://doi.org/10.1080/01690960444000007" TargetMode="External" /><Relationship Type="http://schemas.openxmlformats.org/officeDocument/2006/relationships/hyperlink" Id="rId103" Target="https://doi.org/10.1080/13670050.2017.1325834" TargetMode="External" /><Relationship Type="http://schemas.openxmlformats.org/officeDocument/2006/relationships/hyperlink" Id="rId73" Target="https://doi.org/10.1080/14640749308401062" TargetMode="External" /><Relationship Type="http://schemas.openxmlformats.org/officeDocument/2006/relationships/hyperlink" Id="rId97" Target="https://doi.org/10.1111/1467-9922.00032" TargetMode="External" /><Relationship Type="http://schemas.openxmlformats.org/officeDocument/2006/relationships/hyperlink" Id="rId122" Target="https://doi.org/10.1111/j.1467-9922.2009.00519.x" TargetMode="External" /><Relationship Type="http://schemas.openxmlformats.org/officeDocument/2006/relationships/hyperlink" Id="rId50" Target="https://doi.org/10.1111/lang.12200" TargetMode="External" /><Relationship Type="http://schemas.openxmlformats.org/officeDocument/2006/relationships/hyperlink" Id="rId46" Target="https://doi.org/10.1177/0267658307080557" TargetMode="External" /><Relationship Type="http://schemas.openxmlformats.org/officeDocument/2006/relationships/hyperlink" Id="rId113" Target="https://doi.org/10.1177/0267658318809147" TargetMode="External" /><Relationship Type="http://schemas.openxmlformats.org/officeDocument/2006/relationships/hyperlink" Id="rId93" Target="https://doi.org/10.1177/02676583221128525" TargetMode="External" /><Relationship Type="http://schemas.openxmlformats.org/officeDocument/2006/relationships/hyperlink" Id="rId109" Target="https://doi.org/10.1177/1367006912472262" TargetMode="External" /><Relationship Type="http://schemas.openxmlformats.org/officeDocument/2006/relationships/hyperlink" Id="rId101" Target="https://doi.org/10.1177/17470218231164373" TargetMode="External" /><Relationship Type="http://schemas.openxmlformats.org/officeDocument/2006/relationships/hyperlink" Id="rId56" Target="https://doi.org/10.1371/journal.pone.0134008" TargetMode="External" /><Relationship Type="http://schemas.openxmlformats.org/officeDocument/2006/relationships/hyperlink" Id="rId118" Target="https://doi.org/10.14746/ssllt.2011.1.2.2" TargetMode="External" /><Relationship Type="http://schemas.openxmlformats.org/officeDocument/2006/relationships/hyperlink" Id="rId64" Target="https://doi.org/10.2307/jj.27710839" TargetMode="External" /><Relationship Type="http://schemas.openxmlformats.org/officeDocument/2006/relationships/hyperlink" Id="rId124" Target="https://doi.org/10.3389/fpsyg.2021.647362" TargetMode="External" /><Relationship Type="http://schemas.openxmlformats.org/officeDocument/2006/relationships/hyperlink" Id="rId81" Target="https://doi.org/10.3389/fpsyg.2022.892822" TargetMode="External" /><Relationship Type="http://schemas.openxmlformats.org/officeDocument/2006/relationships/hyperlink" Id="rId75" Target="https://doi.org/10.3390/languages9100310" TargetMode="External" /><Relationship Type="http://schemas.openxmlformats.org/officeDocument/2006/relationships/hyperlink" Id="rId89" Target="https://doi.org/10.3758/s13428-011-0146-0" TargetMode="External" /><Relationship Type="http://schemas.openxmlformats.org/officeDocument/2006/relationships/hyperlink" Id="rId107" Target="https://doi.org/10.3758/s13428-018-01193-y" TargetMode="External" /><Relationship Type="http://schemas.openxmlformats.org/officeDocument/2006/relationships/hyperlink" Id="rId60" Target="https://doi.org/10.3758/s13428-022-01985-3" TargetMode="External" /><Relationship Type="http://schemas.openxmlformats.org/officeDocument/2006/relationships/hyperlink" Id="rId40" Target="https://matrix.aesla.org.es/RAEL/article/view/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11</Pages>
  <Words>2141</Words>
  <Characters>12209</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APA(ish) formatted reference document</vt:lpstr>
    </vt:vector>
  </TitlesOfParts>
  <Company/>
  <LinksUpToDate>false</LinksUpToDate>
  <CharactersWithSpaces>14322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2026-05-12T16:34:21Z</dcterms:created>
  <dcterms:modified xsi:type="dcterms:W3CDTF">2026-05-12T16:34:21Z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bib/references.bib</vt:lpwstr>
  </property>
  <property fmtid="{D5CDD505-2E9C-101B-9397-08002B2CF9AE}" pid="3" name="csl">
    <vt:lpwstr>bib/apa.csl</vt:lpwstr>
  </property>
  <property fmtid="{D5CDD505-2E9C-101B-9397-08002B2CF9AE}" pid="4" name="fontsize">
    <vt:lpwstr>12pt</vt:lpwstr>
  </property>
  <property fmtid="{D5CDD505-2E9C-101B-9397-08002B2CF9AE}" pid="5" name="linestretch">
    <vt:lpwstr>2</vt:lpwstr>
  </property>
  <property fmtid="{D5CDD505-2E9C-101B-9397-08002B2CF9AE}" pid="6" name="output">
    <vt:lpwstr/>
  </property>
</Properties>
</file>