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rId94.png" ContentType="image/png"/>
  <Override PartName="/word/media/rId70.png" ContentType="image/png"/>
  <Override PartName="/word/media/rId85.png" ContentType="image/png"/>
  <Override PartName="/word/media/rId89.png" ContentType="image/png"/>
  <Override PartName="/word/media/rId103.png" ContentType="image/png"/>
  <Override PartName="/word/media/rId99.png" ContentType="image/png"/>
  <Override PartName="/word/media/rId81.png" ContentType="image/png"/>
  <Override PartName="/word/media/rId111.png" ContentType="image/png"/>
  <Override PartName="/word/media/rId1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61" w:name="abstract"/>
    <w:p>
      <w:pPr>
        <w:pStyle w:val="Heading1"/>
      </w:pPr>
      <w:r>
        <w:t xml:space="preserve">Abstract</w:t>
      </w:r>
    </w:p>
    <w:p>
      <w:pPr>
        <w:pStyle w:val="FirstParagraph"/>
      </w:pPr>
      <w:r>
        <w:t xml:space="preserve">Abstract goes here. Length depends on journal.</w:t>
      </w:r>
    </w:p>
    <w:p>
      <w:r>
        <w:br w:type="page"/>
      </w:r>
    </w:p>
    <w:bookmarkEnd w:id="61"/>
    <w:bookmarkStart w:id="66" w:name="cool-title"/>
    <w:p>
      <w:pPr>
        <w:pStyle w:val="Heading1"/>
      </w:pPr>
      <w:r>
        <w:t xml:space="preserve">Cool Title</w:t>
      </w:r>
    </w:p>
    <w:bookmarkStart w:id="62" w:name="introduction"/>
    <w:p>
      <w:pPr>
        <w:pStyle w:val="Heading2"/>
      </w:pPr>
      <w:r>
        <w:t xml:space="preserve">Introduction</w:t>
      </w:r>
    </w:p>
    <w:p>
      <w:pPr>
        <w:pStyle w:val="FirstParagraph"/>
      </w:pPr>
      <w:r>
        <w:t xml:space="preserve">It is estimated that between one-half and two-thirds of the world’s population uses two or more languages in daily life</w:t>
      </w:r>
      <w:r>
        <w:t xml:space="preserve"> </w:t>
      </w:r>
      <w:r>
        <w:t xml:space="preserve">(UNESCO, 2025)</w:t>
      </w:r>
      <w:r>
        <w:t xml:space="preserve">.</w:t>
      </w:r>
      <w:r>
        <w:t xml:space="preserve"> </w:t>
      </w:r>
      <w:r>
        <w:t xml:space="preserve">Consequently, a substantial proportion of individuals engage in cognitive processes for communication that differ from those of monolingual speakers.</w:t>
      </w:r>
      <w:r>
        <w:t xml:space="preserve"> </w:t>
      </w:r>
      <w:r>
        <w:t xml:space="preserve">During language use, bilinguals and multilinguals must continuously regulate the activation of multiple linguistic systems, inhibiting irrelevant linguistic representations to produce and comprehend the intended language.</w:t>
      </w:r>
    </w:p>
    <w:p>
      <w:pPr>
        <w:pStyle w:val="BodyText"/>
      </w:pPr>
      <w:r>
        <w:t xml:space="preserve">Bilingualism being the norm suggests that it is also the more common initial state for subsequent language learning relative to monolingualism.</w:t>
      </w:r>
      <w:r>
        <w:t xml:space="preserve"> </w:t>
      </w:r>
      <w:r>
        <w:t xml:space="preserve">In other words, learning a third or additional language (L3/Ln) is not the exception but the rule.</w:t>
      </w:r>
      <w:r>
        <w:t xml:space="preserve"> </w:t>
      </w:r>
      <w:r>
        <w:t xml:space="preserve">Yet, despite the prevalence of multilingual language learning, we know remarkably little about how third (L3) and additional (Ln) languages are acquired and processed relative to true second language (L2) learning.</w:t>
      </w:r>
      <w:r>
        <w:t xml:space="preserve"> </w:t>
      </w:r>
      <w:r>
        <w:t xml:space="preserve">As a result, understanding how bilingual speakers acquire additional languages is essential for developing theories of language acquisition that reflect the linguistic experiences of most learners rather than a monolingual minority.</w:t>
      </w:r>
    </w:p>
    <w:p>
      <w:pPr>
        <w:pStyle w:val="BodyText"/>
      </w:pPr>
      <w:r>
        <w:t xml:space="preserve">Whether or not L3 and L2 learning are indeed distinct has, though somewhat indirectly, been a point of contention in L3 models via the wholesale transfer/property-by-property transfer debate.</w:t>
      </w:r>
      <w:r>
        <w:t xml:space="preserve"> </w:t>
      </w:r>
      <w:r>
        <w:t xml:space="preserve">In the former, articulated by Rothman and colleagues</w:t>
      </w:r>
      <w:r>
        <w:t xml:space="preserve"> </w:t>
      </w:r>
      <w:r>
        <w:t xml:space="preserve">(Rothman, 2015; Rothman, Alonso, &amp; Puig-Mayenco, 2019)</w:t>
      </w:r>
      <w:r>
        <w:t xml:space="preserve">, and more recently</w:t>
      </w:r>
      <w:r>
        <w:t xml:space="preserve"> </w:t>
      </w:r>
      <w:r>
        <w:t xml:space="preserve">Sprouse &amp; Schwartz (2023)</w:t>
      </w:r>
      <w:r>
        <w:t xml:space="preserve">, either the L1 or L2 transfers to the L3 early in development, suggesting that when L3 learners transfer the L1, L3 and L2 learning would be in principle the same process in that both learner types (L2 or L3) would be guided by their L1.</w:t>
      </w:r>
      <w:r>
        <w:t xml:space="preserve"> </w:t>
      </w:r>
      <w:r>
        <w:t xml:space="preserve">Evidence for this view has primarily come from the testing of mirror image groups in studies of L3 morphosyntax</w:t>
      </w:r>
      <w:r>
        <w:t xml:space="preserve"> </w:t>
      </w:r>
      <w:r>
        <w:t xml:space="preserve">(Bardel &amp; Falk, 2007; Foote, 2009; Parrish, 2024a; Puig-Mayenco, González Alonso, &amp; Rothman, 2020a; Rothman, 2011)</w:t>
      </w:r>
      <w:r>
        <w:t xml:space="preserve">, which test the acquisition of the same L3 by two groups whose L1 and L2 order are reversed.</w:t>
      </w:r>
      <w:r>
        <w:t xml:space="preserve"> </w:t>
      </w:r>
      <w:r>
        <w:t xml:space="preserve">For example, in a study on the acquisition of future probability in L3 Spanish,</w:t>
      </w:r>
      <w:r>
        <w:t xml:space="preserve"> </w:t>
      </w:r>
      <w:r>
        <w:t xml:space="preserve">Borg (2013)</w:t>
      </w:r>
      <w:r>
        <w:t xml:space="preserve"> </w:t>
      </w:r>
      <w:r>
        <w:t xml:space="preserve">tested both L1 English-L2 French and L1 French-L2 English groups and found that both groups benefited from their knowledge of French in L3 Spanish.</w:t>
      </w:r>
      <w:r>
        <w:t xml:space="preserve"> </w:t>
      </w:r>
      <w:r>
        <w:t xml:space="preserve">Additional studies using mirror image groups have reported similar findings on the influence of Spanish in L3 Brazilian Portuguese</w:t>
      </w:r>
      <w:r>
        <w:t xml:space="preserve"> </w:t>
      </w:r>
      <w:r>
        <w:t xml:space="preserve">(Cabrelli, Amaro, &amp; Rothman, 2015; Giancaspro, Halloran, &amp; Iverson, 2015; Ionin, Grolla, Santos, &amp; Montrul, 2015, 2015; Montrul, Dias, &amp; Santos, 2011; Parma, 2017)</w:t>
      </w:r>
      <w:r>
        <w:t xml:space="preserve">, while further studies found evidence for typological transfer in other language combinations</w:t>
      </w:r>
      <w:r>
        <w:t xml:space="preserve"> </w:t>
      </w:r>
      <w:r>
        <w:t xml:space="preserve">(Garavito &amp; Perpiñán, 2014; Garcı́a Mayo &amp; Slabakova, 2015; Puig-Mayenco, Miller, &amp; Rothman, 2018)</w:t>
      </w:r>
    </w:p>
    <w:p>
      <w:pPr>
        <w:pStyle w:val="BodyText"/>
      </w:pPr>
      <w:r>
        <w:t xml:space="preserve">Property-by-property views of L3 acquisition, on the other hand, have argued that transfer is not wholesale, and L3 speakers retain access to both L1 and L2 linguistic representations</w:t>
      </w:r>
      <w:r>
        <w:t xml:space="preserve"> </w:t>
      </w:r>
      <w:r>
        <w:t xml:space="preserve">(Slabakova, 2017; Westergaard, Mitrofanova, Mykhaylyk, &amp; Rodina, 2017)</w:t>
      </w:r>
      <w:r>
        <w:t xml:space="preserve">.</w:t>
      </w:r>
      <w:r>
        <w:t xml:space="preserve"> </w:t>
      </w:r>
      <w:r>
        <w:t xml:space="preserve">Evidence for this view comes from comparing L2 and L3 learners of the same language, referred to as a subtractive design.</w:t>
      </w:r>
      <w:r>
        <w:t xml:space="preserve"> </w:t>
      </w:r>
      <w:r>
        <w:t xml:space="preserve">For example, in a study of one L3 and two L2 groups of English speakers,</w:t>
      </w:r>
      <w:r>
        <w:t xml:space="preserve"> </w:t>
      </w:r>
      <w:r>
        <w:t xml:space="preserve">Westergaard et al. (2017)</w:t>
      </w:r>
      <w:r>
        <w:t xml:space="preserve"> </w:t>
      </w:r>
      <w:r>
        <w:t xml:space="preserve">found that the L3 group’s grammaticality judgments of two word order conditions fell between two L1 comparison groups.</w:t>
      </w:r>
      <w:r>
        <w:t xml:space="preserve"> </w:t>
      </w:r>
      <w:r>
        <w:t xml:space="preserve">This finding suggested that the L3 group was influenced by both the L1 and L2 simultaneously.</w:t>
      </w:r>
      <w:r>
        <w:t xml:space="preserve"> </w:t>
      </w:r>
      <w:r>
        <w:t xml:space="preserve">Similar findings have been reported in L3 phonology, where initial imitations of French by L1 Spanish-L2 English bilinguals differ from L1 Spanish monolinguals</w:t>
      </w:r>
      <w:r>
        <w:t xml:space="preserve"> </w:t>
      </w:r>
      <w:r>
        <w:t xml:space="preserve">(Parrish, 2024b)</w:t>
      </w:r>
      <w:r>
        <w:t xml:space="preserve">.</w:t>
      </w:r>
      <w:r>
        <w:t xml:space="preserve"> </w:t>
      </w:r>
      <w:r>
        <w:t xml:space="preserve">Additional studies also reported differences in crosslinguistic influence between L3 and L2 learners in L3 English</w:t>
      </w:r>
      <w:r>
        <w:t xml:space="preserve"> </w:t>
      </w:r>
      <w:r>
        <w:t xml:space="preserve">(Jensen et al., 2023)</w:t>
      </w:r>
      <w:r>
        <w:t xml:space="preserve"> </w:t>
      </w:r>
      <w:r>
        <w:t xml:space="preserve">and an artificial language</w:t>
      </w:r>
      <w:r>
        <w:t xml:space="preserve"> </w:t>
      </w:r>
      <w:r>
        <w:t xml:space="preserve">(Mitrofanova, Leivada, &amp; Westergaard, 2023)</w:t>
      </w:r>
      <w:r>
        <w:t xml:space="preserve">.</w:t>
      </w:r>
      <w:r>
        <w:t xml:space="preserve"> </w:t>
      </w:r>
      <w:r>
        <w:t xml:space="preserve">Overall, while there is evidence that typological effects seem to impact L3 acquisition, the studies supporting this overarching view cannot support the idea that L2 and L3 learning are, or at least can be, the same on their own.</w:t>
      </w:r>
      <w:r>
        <w:t xml:space="preserve"> </w:t>
      </w:r>
      <w:r>
        <w:t xml:space="preserve">Studies in property-by-property influence, on the other hand, provide evidence that although L3 learners can be primarily influence by their L1, they also experience relative degrees of additional L2 influence that meaningfully differentiates them from L2 learners.</w:t>
      </w:r>
    </w:p>
    <w:p>
      <w:pPr>
        <w:pStyle w:val="BodyText"/>
      </w:pPr>
      <w:r>
        <w:t xml:space="preserve">As a result, in order to inform how and whether L2 and L3 learning follow distinct trajectories, it becomes necessary not to simply show that speakers have access to the L1 or L2, but rather to what degree both are active at a given time.</w:t>
      </w:r>
      <w:r>
        <w:t xml:space="preserve"> </w:t>
      </w:r>
      <w:r>
        <w:t xml:space="preserve">One way to do so is by examining language processing in multilinguals using a within-subject design.</w:t>
      </w:r>
      <w:r>
        <w:t xml:space="preserve"> </w:t>
      </w:r>
      <w:r>
        <w:t xml:space="preserve">The present work takes this approach by investigating lexical processing of double and triple cognates in L3 Spanish by German-English bilingual speakers.</w:t>
      </w:r>
      <w:r>
        <w:t xml:space="preserve"> </w:t>
      </w:r>
      <w:r>
        <w:t xml:space="preserve">Vitally, the within-subjects design allows for the testing of a cumulative effect by comparing the processing of double cognates (words present in the L2 and L3) to triple cognates (words present in all three languages), which, if present, would imply that L2 and L3 learning are distinct processes.</w:t>
      </w:r>
      <w:r>
        <w:t xml:space="preserve"> </w:t>
      </w:r>
      <w:r>
        <w:t xml:space="preserve">Specifically, if L1 German-L2 English-L3 Spanish speakers process triple cognates faster than double cognates (L2 English-L3 Spanish), it would suggest they retain access to both their L1 German and L2 English.</w:t>
      </w:r>
      <w:r>
        <w:t xml:space="preserve"> </w:t>
      </w:r>
      <w:r>
        <w:t xml:space="preserve">On the other hand, if both double and triple cognates are processed at a similar speed (and are faster than non-cognates), this would suggest that these speakers inhibit their L1 lexical knowledge in L3 Spanish.</w:t>
      </w:r>
      <w:r>
        <w:t xml:space="preserve"> </w:t>
      </w:r>
      <w:r>
        <w:t xml:space="preserve">Finally, if non-cognates and double cognates are processed at similar speed, but triple cognates are processed faster, this would suggest that L2 knowledge is inhibited (supporting similar lexical processing in general in L2 and L3 learners).</w:t>
      </w:r>
    </w:p>
    <w:bookmarkEnd w:id="62"/>
    <w:bookmarkStart w:id="63"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r>
        <w:t xml:space="preserve"> </w:t>
      </w:r>
    </w:p>
    <w:bookmarkEnd w:id="63"/>
    <w:bookmarkStart w:id="64"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third language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(2020b)</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br/>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exerts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(Hermas, 2010)</w:t>
      </w:r>
      <w:r>
        <w:t xml:space="preserve">.</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 “sufficient” 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64"/>
    <w:bookmarkStart w:id="65"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and more accurately than double cognates?</w:t>
      </w:r>
    </w:p>
    <w:p>
      <w:pPr>
        <w:pStyle w:val="BodyText"/>
      </w:pPr>
      <w:r>
        <w:t xml:space="preserve">RQ2: Is L3 cognate processing modulated by L3 proficiency?</w:t>
      </w:r>
    </w:p>
    <w:p>
      <w:pPr>
        <w:pStyle w:val="BodyText"/>
      </w:pPr>
      <w:r>
        <w:t xml:space="preserve">For RQ1, we formulated two working hypotheses.</w:t>
      </w:r>
      <w:r>
        <w:t xml:space="preserve"> </w:t>
      </w:r>
      <w:r>
        <w:t xml:space="preserve">On the one hand, we hypothesized that trilinguals would process triple cognates more efficiently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more efficient recognition.</w:t>
      </w:r>
      <w:r>
        <w:t xml:space="preserve"> </w:t>
      </w:r>
      <w:r>
        <w:t xml:space="preserve">On the other hand, it is possible that trilinguals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Finally, a third possibility is that triple cognates are processed more efficiently than both double cognates and non-cognates.</w:t>
      </w:r>
      <w:r>
        <w:t xml:space="preserve"> </w:t>
      </w:r>
      <w:r>
        <w:t xml:space="preserve">This finding would support the inhibition of L2 lexical items and support an L1-prominent view.</w:t>
      </w:r>
      <w:r>
        <w:t xml:space="preserve"> </w:t>
      </w:r>
    </w:p>
    <w:p>
      <w:pPr>
        <w:pStyle w:val="BodyText"/>
      </w:pPr>
      <w:r>
        <w:t xml:space="preserve">For RQ2, our hypothesis was that higher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L3 proficiency may be associated with stronger co-activation of cognates, resulting in stronger cognate effects.</w:t>
      </w:r>
    </w:p>
    <w:bookmarkEnd w:id="65"/>
    <w:bookmarkEnd w:id="66"/>
    <w:bookmarkStart w:id="79" w:name="methodology"/>
    <w:p>
      <w:pPr>
        <w:pStyle w:val="Heading1"/>
      </w:pPr>
      <w:r>
        <w:t xml:space="preserve">Methodology</w:t>
      </w:r>
    </w:p>
    <w:bookmarkStart w:id="67" w:name="participants"/>
    <w:p>
      <w:pPr>
        <w:pStyle w:val="Heading2"/>
      </w:pPr>
      <w:r>
        <w:t xml:space="preserve">Participants</w:t>
      </w:r>
    </w:p>
    <w:p>
      <w:pPr>
        <w:pStyle w:val="FirstParagraph"/>
      </w:pPr>
      <w:r>
        <w:t xml:space="preserve">A total of 44 participants completed the study.</w:t>
      </w:r>
      <w:r>
        <w:t xml:space="preserve"> </w:t>
      </w:r>
      <w:r>
        <w:t xml:space="preserve">A total of nine participants were recruited from Hispanic Linguistics courses in a public university in Frankfurt, Germany.</w:t>
      </w:r>
      <w:r>
        <w:t xml:space="preserve"> </w:t>
      </w:r>
      <w:r>
        <w:t xml:space="preserve">They received extra credit for their participation in the study.</w:t>
      </w:r>
      <w:r>
        <w:t xml:space="preserve"> </w:t>
      </w:r>
      <w:r>
        <w:t xml:space="preserve">The remaining 35 participants were recruited using Prolific (www.prolific.com) and received monetary compensation for their participation.</w:t>
      </w:r>
      <w:r>
        <w:t xml:space="preserve"> </w:t>
      </w:r>
      <w:r>
        <w:t xml:space="preserve">The data of 9 participants were removed from the final data set due to low accuracy rates in at least one condition (less than 10 out of 24 correct in the cognate conditions).</w:t>
      </w:r>
      <w:r>
        <w:t xml:space="preserve"> </w:t>
      </w:r>
      <w:r>
        <w:t xml:space="preserve">As a result, the final data set contained 35 participants (64% female; 36% male).</w:t>
      </w:r>
    </w:p>
    <w:p>
      <w:pPr>
        <w:pStyle w:val="BodyText"/>
      </w:pPr>
      <w:r>
        <w:t xml:space="preserve">All participants completed an adapted version of the LEAP-Q questionnaire</w:t>
      </w:r>
      <w:r>
        <w:t xml:space="preserve"> </w:t>
      </w:r>
      <w:r>
        <w:t xml:space="preserve">(Marian, Blumenfeld, &amp; Kaushanskaya, 2007)</w:t>
      </w:r>
      <w:r>
        <w:t xml:space="preserve">.</w:t>
      </w:r>
      <w:r>
        <w:t xml:space="preserve"> </w:t>
      </w:r>
      <w:r>
        <w:t xml:space="preserve">The questionnaire was administered in Qualtrics and asked about language background and dominance.</w:t>
      </w:r>
      <w:r>
        <w:t xml:space="preserve"> </w:t>
      </w:r>
      <w:r>
        <w:t xml:space="preserve">The survey contained 23 total questions, including general information (age, gender, birth place and place of residence), language dominance and order of acquisition, and self-rated proficiency in both speaking and perception.</w:t>
      </w:r>
    </w:p>
    <w:p>
      <w:pPr>
        <w:pStyle w:val="BodyText"/>
      </w:pPr>
      <w:r>
        <w:t xml:space="preserve">All participants were born and lived in Germany.</w:t>
      </w:r>
      <w:r>
        <w:t xml:space="preserve"> </w:t>
      </w:r>
      <w:r>
        <w:t xml:space="preserve">The participants’ ages ranged from 22 to 69 (mean age 34.4, sd = 12.1).</w:t>
      </w:r>
      <w:r>
        <w:t xml:space="preserve"> </w:t>
      </w:r>
      <w:r>
        <w:t xml:space="preserve">All participants reported that their first language was German, that English was their second language and that Spanish was their third language, both in terms of order of acquisition and dominance.</w:t>
      </w:r>
      <w:r>
        <w:t xml:space="preserve"> </w:t>
      </w:r>
      <w:r>
        <w:t xml:space="preserve">The mean age of onset of English was 8.8 (sd = 2) and the age of acquisition (when participants first felt fluent) was 16.6 (sd = 3.5).</w:t>
      </w:r>
      <w:r>
        <w:t xml:space="preserve"> </w:t>
      </w:r>
      <w:r>
        <w:t xml:space="preserve">The mean age of onset for Spanish was 18 (sd = 9.6), and the mean age of acquisition was 22.1 (sd = 5), although many participants did not enter a value in the survey for age of acquisition of Spanish.</w:t>
      </w:r>
    </w:p>
    <w:p>
      <w:pPr>
        <w:pStyle w:val="BodyText"/>
      </w:pPr>
      <w:r>
        <w:t xml:space="preserve">The participants self-ratings in spoken and perceptual proficiency ranged on a scale from 1 to 10, in which 10 was the most proficient and 1 was the least proficient.</w:t>
      </w:r>
      <w:r>
        <w:t xml:space="preserve"> </w:t>
      </w:r>
      <w:r>
        <w:t xml:space="preserve">The average self-rated German proficiency was, as expected, near ceiling in both spoken (mean rating = 9.84; sd = 0.37) and perceptual proficiency (mean rating = 9.84; sd = 0.37).</w:t>
      </w:r>
      <w:r>
        <w:t xml:space="preserve"> </w:t>
      </w:r>
      <w:r>
        <w:t xml:space="preserve">English self-rated proficiency was second best, and the participants rated themselves slightly higher in perceptual proficiency (mean rating = 8.32; sd = 0.63) than spoken proficiency (mean rating = 8.04; sd = 0.84).</w:t>
      </w:r>
      <w:r>
        <w:t xml:space="preserve"> </w:t>
      </w:r>
      <w:r>
        <w:t xml:space="preserve">The self-rated proficiency levels in Spanish was the lowest and showed the most variation.</w:t>
      </w:r>
      <w:r>
        <w:t xml:space="preserve"> </w:t>
      </w:r>
      <w:r>
        <w:t xml:space="preserve">Specifically, the mean rating for spoken proficiency was 3.6 (sd = 1.83), while perceptual proficiency was 4 (sd = 1.98).</w:t>
      </w:r>
    </w:p>
    <w:bookmarkEnd w:id="67"/>
    <w:bookmarkStart w:id="75" w:name="materials-and-procedure"/>
    <w:p>
      <w:pPr>
        <w:pStyle w:val="Heading2"/>
      </w:pPr>
      <w:r>
        <w:t xml:space="preserve">Materials and Procedure</w:t>
      </w:r>
    </w:p>
    <w:bookmarkStart w:id="69"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stimulus items.</w:t>
      </w:r>
    </w:p>
    <w:p>
      <w:pPr>
        <w:pStyle w:val="TableCaption"/>
      </w:pPr>
      <w:bookmarkStart w:id="68" w:name="tab:stim-properties"/>
      <w:bookmarkEnd w:id="68"/>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69"/>
    <w:bookmarkStart w:id="74" w:name="proficiency-measure-adapted-lextale"/>
    <w:p>
      <w:pPr>
        <w:pStyle w:val="Heading3"/>
      </w:pPr>
      <w:r>
        <w:t xml:space="preserve">Proficiency Measure: adapted LexTALE</w:t>
      </w:r>
    </w:p>
    <w:p>
      <w:pPr>
        <w:pStyle w:val="FirstParagraph"/>
      </w:pPr>
      <w:r>
        <w:t xml:space="preserve">In addition to self-rated proficiency, participants’ accuracy on the experimental lexical decision task was used as an additional proficiency measure.</w:t>
      </w:r>
      <w:r>
        <w:t xml:space="preserve"> </w:t>
      </w:r>
      <w:r>
        <w:t xml:space="preserve">Specifically, we considered the psuedoword and non-cognates trials as an adapted version of the LexTALE</w:t>
      </w:r>
      <w:r>
        <w:t xml:space="preserve"> </w:t>
      </w:r>
      <w:r>
        <w:t xml:space="preserve">(Izura, Cuetos, &amp; Brysbaert, 2014; Lemhöfer &amp; Broersma, 2012)</w:t>
      </w:r>
      <w:r>
        <w:t xml:space="preserve">.</w:t>
      </w:r>
      <w:r>
        <w:t xml:space="preserve"> </w:t>
      </w:r>
      <w:r>
        <w:t xml:space="preserve">The item set was constructed to include real words with a broad range of frequencies in order to capture lexical knowledge across proficiency levels.</w:t>
      </w:r>
      <w:r>
        <w:t xml:space="preserve"> </w:t>
      </w:r>
      <w:r>
        <w:t xml:space="preserve">Cognates were excluded from the item pool to minimize the possibility that participants could rely on cross-linguistic form overlap rather than target-language lexical knowledge.</w:t>
      </w:r>
      <w:r>
        <w:t xml:space="preserve"> </w:t>
      </w:r>
      <w:r>
        <w:t xml:space="preserve">As a result of these design choices, the trials from the experimental task used to calculate a proficiency score contained 48 real words and 96 pseudowords.</w:t>
      </w:r>
      <w:r>
        <w:t xml:space="preserve"> </w:t>
      </w:r>
      <w:r>
        <w:t xml:space="preserve">Scores were calculated using a similar scoring system to the original LexTALE to avoid a yes/no bias and to account for the unequal proportion of real words and pseudowords in the included data.</w:t>
      </w:r>
      <w:r>
        <w:t xml:space="preserve"> </w:t>
      </w:r>
      <w:r>
        <w:t xml:space="preserve">Specifically, following formula was used: (number of real words correct/48 x 100 + number of pseudowords correct/98 x 100)/2.</w:t>
      </w:r>
      <w:r>
        <w:t xml:space="preserve"> </w:t>
      </w:r>
      <w:r>
        <w:t xml:space="preserve">The results returned a score from 0 to 100, in which a score of 50 would represent saying either</w:t>
      </w:r>
      <w:r>
        <w:t xml:space="preserve"> </w:t>
      </w:r>
      <w:r>
        <w:t xml:space="preserve">“yes”</w:t>
      </w:r>
      <w:r>
        <w:t xml:space="preserve"> </w:t>
      </w:r>
      <w:r>
        <w:t xml:space="preserve">or</w:t>
      </w:r>
      <w:r>
        <w:t xml:space="preserve"> </w:t>
      </w:r>
      <w:r>
        <w:t xml:space="preserve">“no”</w:t>
      </w:r>
      <w:r>
        <w:t xml:space="preserve"> </w:t>
      </w:r>
      <w:r>
        <w:t xml:space="preserve">to all trials.</w:t>
      </w:r>
      <w:r>
        <w:t xml:space="preserve"> </w:t>
      </w:r>
      <w:r>
        <w:t xml:space="preserve">Figure</w:t>
      </w:r>
      <w:r>
        <w:t xml:space="preserve"> </w:t>
      </w:r>
      <w:r>
        <w:t xml:space="preserve">1</w:t>
      </w:r>
      <w:r>
        <w:t xml:space="preserve"> </w:t>
      </w:r>
      <w:r>
        <w:t xml:space="preserve">shows the distribution of adapted LexTALE scores.</w:t>
      </w:r>
      <w:r>
        <w:t xml:space="preserve"> </w:t>
      </w:r>
      <w:r>
        <w:t xml:space="preserve">The scores ranged from 55.2 to 97.9 with a mean of 73 (sd = 10).</w:t>
      </w:r>
    </w:p>
    <w:p>
      <w:pPr>
        <w:pStyle w:val="CaptionedFigure"/>
      </w:pPr>
      <w:r>
        <w:drawing>
          <wp:inline>
            <wp:extent cx="4579632" cy="3662179"/>
            <wp:effectExtent b="0" l="0" r="0" t="0"/>
            <wp:docPr descr="Figure 1: Histogram of the adapted LexTALE scores" title="" id="71" name="Picture"/>
            <a:graphic>
              <a:graphicData uri="http://schemas.openxmlformats.org/drawingml/2006/picture">
                <pic:pic>
                  <pic:nvPicPr>
                    <pic:cNvPr descr="../plots/apapted_lextale_hist.png" id="72" name="Picture"/>
                    <pic:cNvPicPr>
                      <a:picLocks noChangeArrowheads="1" noChangeAspect="1"/>
                    </pic:cNvPicPr>
                  </pic:nvPicPr>
                  <pic:blipFill>
                    <a:blip r:embed="rId70"/>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73" w:name="fig:profplot"/>
      <w:bookmarkEnd w:id="73"/>
      <w:r>
        <w:t xml:space="preserve">Figure 1: Histogram of the adapted LexTALE scores</w:t>
      </w:r>
    </w:p>
    <w:bookmarkEnd w:id="74"/>
    <w:bookmarkEnd w:id="75"/>
    <w:bookmarkStart w:id="78" w:name="data-analysis"/>
    <w:p>
      <w:pPr>
        <w:pStyle w:val="Heading2"/>
      </w:pPr>
      <w:r>
        <w:t xml:space="preserve">Data Analysis</w:t>
      </w:r>
    </w:p>
    <w:bookmarkStart w:id="76" w:name="analysis-justification"/>
    <w:p>
      <w:pPr>
        <w:pStyle w:val="Heading3"/>
      </w:pPr>
      <w:r>
        <w:t xml:space="preserve">Analysis justification</w:t>
      </w:r>
    </w:p>
    <w:p>
      <w:pPr>
        <w:pStyle w:val="FirstParagraph"/>
      </w:pPr>
      <w:r>
        <w:t xml:space="preserve">A Bayesian approach was chosen for two primary reasons.</w:t>
      </w:r>
      <w:r>
        <w:t xml:space="preserve"> </w:t>
      </w:r>
      <w:r>
        <w:t xml:space="preserve">First, Bayesian models allow for a more gradient analysis than the often used frequentist p-value, in which is is more typical to take a binary, all-or-nothing approach (e.g. there either is or is not evidence for a difference between conditions).</w:t>
      </w:r>
      <w:r>
        <w:t xml:space="preserve"> </w:t>
      </w:r>
      <w:r>
        <w:t xml:space="preserve">Additionally, frequentist models test against the null hypothesis, but are unable to provide direct evidence that the null hypothesis is true.</w:t>
      </w:r>
      <w:r>
        <w:t xml:space="preserve"> </w:t>
      </w:r>
      <w:r>
        <w:t xml:space="preserve">Taken together, the Bayesian Framework offers both flexibility and for more gradient interpretations of both the null and alternative hypotheses.</w:t>
      </w:r>
    </w:p>
    <w:p>
      <w:pPr>
        <w:pStyle w:val="BodyText"/>
      </w:pPr>
      <w:r>
        <w:t xml:space="preserve">In the Bayesian framework, several metrics are reported.</w:t>
      </w:r>
      <w:r>
        <w:t xml:space="preserve"> </w:t>
      </w:r>
      <w:r>
        <w:t xml:space="preserve">First, the 95% Highest Density Interval (95% HDI) refers to the range of the most credible 95% of the posterior distribution as determined by a probability density function.</w:t>
      </w:r>
      <w:r>
        <w:t xml:space="preserve"> </w:t>
      </w:r>
      <w:r>
        <w:t xml:space="preserve">Next, the probability of direction (pd) refers to the probability that a parameter is positive or negative and ranges from 50% to 100%.</w:t>
      </w:r>
      <w:r>
        <w:t xml:space="preserve"> </w:t>
      </w:r>
      <w:r>
        <w:t xml:space="preserve">It is mathematically defined as the proportion of the posterior distribution that is the same sign its median estimate</w:t>
      </w:r>
      <w:r>
        <w:t xml:space="preserve"> </w:t>
      </w:r>
      <w:r>
        <w:t xml:space="preserve">(Makowski, Ben-Shachar, Chen, &amp; Lüdecke, 2019)</w:t>
      </w:r>
      <w:r>
        <w:t xml:space="preserve">.</w:t>
      </w:r>
      <w:r>
        <w:t xml:space="preserve"> </w:t>
      </w:r>
      <w:r>
        <w:t xml:space="preserve">Finally, the Region of Practical Equivalence (ROPE) is used to determine what proportion of the entire posterior distribution falls within researcher-specified upper and lower bounds and can be used to provide evidence for the null hypothesis.</w:t>
      </w:r>
    </w:p>
    <w:p>
      <w:pPr>
        <w:pStyle w:val="BodyText"/>
      </w:pPr>
      <w:r>
        <w:t xml:space="preserve">Although the HDI and ROPE can be combined to create decision rules (e.g., concluding that a difference is credible when the entire 95% HDI falls outside the ROPE</w:t>
      </w:r>
      <w:r>
        <w:t xml:space="preserve"> </w:t>
      </w:r>
      <w:r>
        <w:t xml:space="preserve">(Kruschke, 2018)</w:t>
      </w:r>
      <w:r>
        <w:t xml:space="preserve">), such binary decisions are not required in Bayesian inference.</w:t>
      </w:r>
      <w:r>
        <w:t xml:space="preserve"> </w:t>
      </w:r>
      <w:r>
        <w:t xml:space="preserve">Rather, Bayesian analyses permit a more graded evaluation of evidence by examining the location and spread of the posterior distribution, the probability of direction, and the proportion of the posterior falling within the ROPE.</w:t>
      </w:r>
      <w:r>
        <w:t xml:space="preserve"> </w:t>
      </w:r>
      <w:r>
        <w:t xml:space="preserve">Consequently, evidence can be interpreted as varying continuously in strength rather than being reduced to a dichotomous significant/non-significant outcome.</w:t>
      </w:r>
    </w:p>
    <w:bookmarkEnd w:id="76"/>
    <w:bookmarkStart w:id="77" w:name="model-speficications"/>
    <w:p>
      <w:pPr>
        <w:pStyle w:val="Heading3"/>
      </w:pPr>
      <w:r>
        <w:t xml:space="preserve">Model speficications</w:t>
      </w:r>
    </w:p>
    <w:p>
      <w:pPr>
        <w:pStyle w:val="FirstParagraph"/>
      </w:pPr>
      <w:r>
        <w:t xml:space="preserve">The data were analyzed using two Bayesian multilevel regression models for accuracy and reaction time.</w:t>
      </w:r>
      <w:r>
        <w:t xml:space="preserve"> </w:t>
      </w:r>
      <w:r>
        <w:t xml:space="preserve">Both models were fit to the data using the brms</w:t>
      </w:r>
      <w:r>
        <w:t xml:space="preserve"> </w:t>
      </w:r>
      <w:r>
        <w:t xml:space="preserve">(Bürkner, 2017)</w:t>
      </w:r>
      <w:r>
        <w:t xml:space="preserve"> </w:t>
      </w:r>
      <w:r>
        <w:t xml:space="preserve">package in R and were estimated with Markov chain Monte Carlo sampling using 4 chains, each with 4000 iterations, including 2000 warm-up.</w:t>
      </w:r>
      <w:r>
        <w:t xml:space="preserve"> </w:t>
      </w:r>
      <w:r>
        <w:t xml:space="preserve">Model convergence was evaluated using effective sample sizes and R-hat values.</w:t>
      </w:r>
      <w:r>
        <w:t xml:space="preserve"> </w:t>
      </w:r>
      <w:r>
        <w:t xml:space="preserve">All regression coefficients were assigned Student’s t(3, 0, 2.5) priors, while the residual standard deviation was assigned a half-Student’s t(3, 0, 2.5) prior.</w:t>
      </w:r>
      <w:r>
        <w:t xml:space="preserve"> </w:t>
      </w:r>
      <w:r>
        <w:t xml:space="preserve">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frequency (z-scored log frequency), and proficiency (z-scored adapted LexTALE score).</w:t>
      </w:r>
      <w:r>
        <w:t xml:space="preserve"> </w:t>
      </w:r>
      <w:r>
        <w:t xml:space="preserve">The random effects structure include a random slope for each participant and a random intercept for word (stimulus).</w:t>
      </w:r>
      <w:r>
        <w:t xml:space="preserve"> </w:t>
      </w:r>
      <w:r>
        <w:t xml:space="preserve">The ROPE was set to +/-0.18 in log-odds, proportional to a negligible effect size of Cohen’s d = .1</w:t>
      </w:r>
      <w:r>
        <w:t xml:space="preserve"> </w:t>
      </w:r>
      <w:r>
        <w:t xml:space="preserve">(Plonsky &amp; Oswald, 2014)</w:t>
      </w:r>
      <w:r>
        <w:t xml:space="preserve">.</w:t>
      </w:r>
      <w:r>
        <w:t xml:space="preserve"> </w:t>
      </w:r>
      <w:r>
        <w:t xml:space="preserve">The reaction time model predicted the log reaction time of correct responses as a function of the same predictors and random effect structure.</w:t>
      </w:r>
      <w:r>
        <w:t xml:space="preserve"> </w:t>
      </w:r>
      <w:r>
        <w:t xml:space="preserve">In this case, the ROPE was set to +/-0.0065 log reaction time, or +/- approximately 5ms.</w:t>
      </w:r>
    </w:p>
    <w:bookmarkEnd w:id="77"/>
    <w:bookmarkEnd w:id="78"/>
    <w:bookmarkEnd w:id="79"/>
    <w:bookmarkStart w:id="117" w:name="results"/>
    <w:p>
      <w:pPr>
        <w:pStyle w:val="Heading1"/>
      </w:pPr>
      <w:r>
        <w:t xml:space="preserve">Results</w:t>
      </w:r>
    </w:p>
    <w:bookmarkStart w:id="80" w:name="data-trimming"/>
    <w:p>
      <w:pPr>
        <w:pStyle w:val="Heading2"/>
      </w:pPr>
      <w:r>
        <w:t xml:space="preserve">Data trimming</w:t>
      </w:r>
    </w:p>
    <w:p>
      <w:pPr>
        <w:pStyle w:val="FirstParagraph"/>
      </w:pPr>
      <w:r>
        <w:t xml:space="preserve">The data set for accuracy included 35 participants contained a total of 6720 data points (192 trials x 35 participants) and maintained all correct and incorrect trials.</w:t>
      </w:r>
      <w:r>
        <w:t xml:space="preserve"> </w:t>
      </w:r>
      <w:r>
        <w:t xml:space="preserve">Due to an error, three stimulus items were duplicated in the data (two non-cognates and one double cognate) and were subsequently omitted from further analysis, resulting in a total of 6510 data points (186 per participant).</w:t>
      </w:r>
      <w:r>
        <w:t xml:space="preserve"> </w:t>
      </w:r>
      <w:r>
        <w:t xml:space="preserve">For reaction time the analyzed data frame contained 2180 data points after removing pseudoword trials (n = 3360), incorrect trials (n = 1473), trials that were too fast (n = 195) or too slow (n = 417). Some trials fit multiple criteria for removal, and a trial was considered too fast or too slow when the reaction time was under 500ms or over 2 seconds.</w:t>
      </w:r>
    </w:p>
    <w:bookmarkEnd w:id="80"/>
    <w:bookmarkStart w:id="98" w:name="accuracy"/>
    <w:p>
      <w:pPr>
        <w:pStyle w:val="Heading2"/>
      </w:pPr>
      <w:r>
        <w:t xml:space="preserve">Accuracy</w:t>
      </w:r>
    </w:p>
    <w:p>
      <w:pPr>
        <w:pStyle w:val="CaptionedFigure"/>
      </w:pPr>
      <w:r>
        <w:drawing>
          <wp:inline>
            <wp:extent cx="4579632" cy="3662179"/>
            <wp:effectExtent b="0" l="0" r="0" t="0"/>
            <wp:docPr descr="Figure 2: Percentage of correct responses by word type" title="" id="82" name="Picture"/>
            <a:graphic>
              <a:graphicData uri="http://schemas.openxmlformats.org/drawingml/2006/picture">
                <pic:pic>
                  <pic:nvPicPr>
                    <pic:cNvPr descr="../plots/overall_acc.png" id="83" name="Picture"/>
                    <pic:cNvPicPr>
                      <a:picLocks noChangeArrowheads="1" noChangeAspect="1"/>
                    </pic:cNvPicPr>
                  </pic:nvPicPr>
                  <pic:blipFill>
                    <a:blip r:embed="rId81"/>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84" w:name="fig:accuracy"/>
      <w:bookmarkEnd w:id="84"/>
      <w:r>
        <w:t xml:space="preserve">Figure 2: Percentage of correct responses by word type</w:t>
      </w:r>
    </w:p>
    <w:p>
      <w:pPr>
        <w:pStyle w:val="BodyText"/>
      </w:pPr>
      <w:r>
        <w:t xml:space="preserve">Overall, there was evidence of a cumulative effect of cognate facilitation in accuracy.</w:t>
      </w:r>
      <w:r>
        <w:t xml:space="preserve"> </w:t>
      </w:r>
      <w:r>
        <w:t xml:space="preserve">Figure</w:t>
      </w:r>
      <w:r>
        <w:t xml:space="preserve"> </w:t>
      </w:r>
      <w:r>
        <w:t xml:space="preserve">2</w:t>
      </w:r>
      <w:r>
        <w:t xml:space="preserve"> </w:t>
      </w:r>
      <w:r>
        <w:t xml:space="preserve">shows the overall accuracy within the entire data set (6510 trials) excluding pseudowords (in which 79.85% of trials were correct)</w:t>
      </w:r>
      <w:r>
        <w:t xml:space="preserve"> </w:t>
      </w:r>
      <w:r>
        <w:t xml:space="preserve">Participants were most accurate for triple cognates (88.81%), followed by double cognates (81.69%) and non-cognates were the least accurate (63.57%).</w:t>
      </w:r>
    </w:p>
    <w:p>
      <w:pPr>
        <w:pStyle w:val="BodyText"/>
      </w:pPr>
      <w:r>
        <w:t xml:space="preserve">For most individual participants, cognates were helpful in correctly answered a trial, but there were a few exceptions.</w:t>
      </w:r>
      <w:r>
        <w:t xml:space="preserve"> </w:t>
      </w:r>
      <w:r>
        <w:t xml:space="preserve">Figure</w:t>
      </w:r>
      <w:r>
        <w:t xml:space="preserve"> </w:t>
      </w:r>
      <w:r>
        <w:t xml:space="preserve">3</w:t>
      </w:r>
      <w:r>
        <w:t xml:space="preserve"> </w:t>
      </w:r>
      <w:r>
        <w:t xml:space="preserve">shows histograms of individuals’ percentage of correct trials in each word-type.</w:t>
      </w:r>
      <w:r>
        <w:t xml:space="preserve"> </w:t>
      </w:r>
      <w:r>
        <w:t xml:space="preserve">Individual accuracy in non-cognates ranged from 27.27 % of trials correct to 97.73% (median 63.64%).</w:t>
      </w:r>
      <w:r>
        <w:t xml:space="preserve"> </w:t>
      </w:r>
      <w:r>
        <w:t xml:space="preserve">Like the data set as a whole, the median of individual percentages correct for the triple cognates was the highest: 91.67% (range 58.33% - 100.00%), followed by double cognates (median percentage correct = 81.82%; range = 50.00% - 100.00).</w:t>
      </w:r>
      <w:r>
        <w:t xml:space="preserve"> </w:t>
      </w:r>
      <w:r>
        <w:t xml:space="preserve">Taken together, these descriptive results suggest that, while most participants benefit from cognates in accuracy, a minority also experience steep drops in accuracy.</w:t>
      </w:r>
      <w:r>
        <w:t xml:space="preserve"> </w:t>
      </w:r>
      <w:r>
        <w:t xml:space="preserve">Indeed, two participants showed the opposite of expected and were most accurate in non-cognates (60.4% and 68.7%) and much less accurate in two-way (25% and 16.7%) and triple cognates (20.8% and 8.3%).</w:t>
      </w:r>
    </w:p>
    <w:p>
      <w:pPr>
        <w:pStyle w:val="CaptionedFigure"/>
      </w:pPr>
      <w:r>
        <w:drawing>
          <wp:inline>
            <wp:extent cx="4579632" cy="3662179"/>
            <wp:effectExtent b="0" l="0" r="0" t="0"/>
            <wp:docPr descr="Figure 3: Histograms of individual percentages corrects by word type" title="" id="86" name="Picture"/>
            <a:graphic>
              <a:graphicData uri="http://schemas.openxmlformats.org/drawingml/2006/picture">
                <pic:pic>
                  <pic:nvPicPr>
                    <pic:cNvPr descr="../plots/ind_acc.png" id="87" name="Picture"/>
                    <pic:cNvPicPr>
                      <a:picLocks noChangeArrowheads="1" noChangeAspect="1"/>
                    </pic:cNvPicPr>
                  </pic:nvPicPr>
                  <pic:blipFill>
                    <a:blip r:embed="rId85"/>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88" w:name="fig:accuracyind"/>
      <w:bookmarkEnd w:id="88"/>
      <w:r>
        <w:t xml:space="preserve">Figure 3: Histograms of individual percentages corrects by word type</w:t>
      </w:r>
    </w:p>
    <w:p>
      <w:pPr>
        <w:pStyle w:val="BodyText"/>
      </w:pPr>
      <w:r>
        <w:t xml:space="preserve">L3 proficiency, as measured by the adapted LexTALE was more beneficial for accuracy at lower levels of proficiency.</w:t>
      </w:r>
      <w:r>
        <w:t xml:space="preserve"> </w:t>
      </w:r>
      <w:r>
        <w:t xml:space="preserve">Figure</w:t>
      </w:r>
      <w:r>
        <w:t xml:space="preserve"> </w:t>
      </w:r>
      <w:r>
        <w:t xml:space="preserve">4</w:t>
      </w:r>
      <w:r>
        <w:t xml:space="preserve"> </w:t>
      </w:r>
      <w:r>
        <w:t xml:space="preserve">shows the change in accuracy for non-cogates relative to both double and triple cognates.</w:t>
      </w:r>
      <w:r>
        <w:t xml:space="preserve"> </w:t>
      </w:r>
      <w:r>
        <w:t xml:space="preserve">A positive value on the plot refers to an advantage for that cognate types of the value on the y-axis.</w:t>
      </w:r>
      <w:r>
        <w:t xml:space="preserve"> </w:t>
      </w:r>
      <w:r>
        <w:t xml:space="preserve">For example, a value of 40 on the y-axis means that a specific participant was 40% more accurate in a cognate condition than non-cognates.</w:t>
      </w:r>
      <w:r>
        <w:t xml:space="preserve"> </w:t>
      </w:r>
      <w:r>
        <w:t xml:space="preserve">On the other hand, negative values suggest they were less accurate.</w:t>
      </w:r>
      <w:r>
        <w:t xml:space="preserve"> </w:t>
      </w:r>
      <w:r>
        <w:t xml:space="preserve">The fitted lines represent the predicted increase in accuracy as proficiency increases.</w:t>
      </w:r>
      <w:r>
        <w:t xml:space="preserve"> </w:t>
      </w:r>
      <w:r>
        <w:t xml:space="preserve">The negative slope suggests that as proficiency increases, the relative benefit of cognate status for accuracy diminishes.</w:t>
      </w:r>
    </w:p>
    <w:p>
      <w:pPr>
        <w:pStyle w:val="CaptionedFigure"/>
      </w:pPr>
      <w:r>
        <w:drawing>
          <wp:inline>
            <wp:extent cx="4579632" cy="3662179"/>
            <wp:effectExtent b="0" l="0" r="0" t="0"/>
            <wp:docPr descr="Figure 4: Increase in accuracy as a function of proficiency and word type" title="" id="90" name="Picture"/>
            <a:graphic>
              <a:graphicData uri="http://schemas.openxmlformats.org/drawingml/2006/picture">
                <pic:pic>
                  <pic:nvPicPr>
                    <pic:cNvPr descr="../plots/ind_acc_prof.png" id="91" name="Picture"/>
                    <pic:cNvPicPr>
                      <a:picLocks noChangeArrowheads="1" noChangeAspect="1"/>
                    </pic:cNvPicPr>
                  </pic:nvPicPr>
                  <pic:blipFill>
                    <a:blip r:embed="rId89"/>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92" w:name="fig:accuracyindpro"/>
      <w:bookmarkEnd w:id="92"/>
      <w:r>
        <w:t xml:space="preserve">Figure 4: Increase in accuracy as a function of proficiency and word type</w:t>
      </w:r>
    </w:p>
    <w:p>
      <w:pPr>
        <w:pStyle w:val="TableCaption"/>
      </w:pPr>
      <w:bookmarkStart w:id="93" w:name="tab:unnamed-chunk-17"/>
      <w:bookmarkEnd w:id="93"/>
      <w:r>
        <w:t xml:space="preserve">Table 2:</w:t>
      </w:r>
      <w:r>
        <w:t xml:space="preserve"> </w:t>
      </w:r>
      <w:r>
        <w:t xml:space="preserve">Posterior Distribution of the Accuracy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584"/>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3,103.25</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b_typenon_cognate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3,385.79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3,792.57</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b_frequency_z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[0.79,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3,846.57</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b_proficiency_z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[0.43, 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3,288.93</w:t>
            </w:r>
          </w:p>
        </w:tc>
      </w:tr>
    </w:tbl>
    <w:p>
      <w:pPr>
        <w:pStyle w:val="BodyText"/>
      </w:pPr>
      <w:r>
        <w:t xml:space="preserve">The Bayesian Model largely corroborated the descriptive effects.</w:t>
      </w:r>
      <w:r>
        <w:t xml:space="preserve"> </w:t>
      </w:r>
      <w:r>
        <w:t xml:space="preserve">Overall, there was strong evidence for a general cognate effect in accuracy, and somewhat weaker evidence for a cumulative effect.</w:t>
      </w:r>
      <w:r>
        <w:t xml:space="preserve"> </w:t>
      </w:r>
      <w:r>
        <w:t xml:space="preserve">Figure</w:t>
      </w:r>
      <w:r>
        <w:t xml:space="preserve"> </w:t>
      </w:r>
      <w:r>
        <w:t xml:space="preserve">5</w:t>
      </w:r>
      <w:r>
        <w:t xml:space="preserve"> </w:t>
      </w:r>
      <w:r>
        <w:t xml:space="preserve">visualizes the posterior distribution for the accuracy model and Table 2 includes specific estimates of each model term.</w:t>
      </w:r>
      <w:r>
        <w:t xml:space="preserve"> </w:t>
      </w:r>
      <w:r>
        <w:t xml:space="preserve">In this model, the intercept was 2.34 and represents the log-odds of an accurate response in the reference condition (double cognates) when the adapted LexTALE scores (proficiency_z) and lexical frequency (frequency_z) are average.</w:t>
      </w:r>
      <w:r>
        <w:t xml:space="preserve"> </w:t>
      </w:r>
      <w:r>
        <w:t xml:space="preserve">In practice, this corresponds to a participant with average proficiency would be accurate 91.2% of the time for words of average lexical frequency.</w:t>
      </w:r>
      <w:r>
        <w:t xml:space="preserve"> </w:t>
      </w:r>
      <w:r>
        <w:t xml:space="preserve">The effect for non-cognates was -1.46, 95% HDI = [-2.12, -0.84], pd = 1, which corresponds to a lower predicted probability of a correct response (70.7%).</w:t>
      </w:r>
      <w:r>
        <w:t xml:space="preserve"> </w:t>
      </w:r>
      <w:r>
        <w:t xml:space="preserve">The probability of direction was 1.00, signaling that virtually the entire posterior distribution is below zero, providing extremely strong evidence for a negative effect.</w:t>
      </w:r>
      <w:r>
        <w:t xml:space="preserve"> </w:t>
      </w:r>
      <w:r>
        <w:t xml:space="preserve">Additionally, 0% of the posterior distribution fell within the ROPE, suggesting that none of the credible parameter values were practically equivalent to zero.</w:t>
      </w:r>
      <w:r>
        <w:t xml:space="preserve"> </w:t>
      </w:r>
      <w:r>
        <w:t xml:space="preserve">For triple cognates, the median effect was 0.71 95% HDI = [0, 1.39], indicating that the most credible values of the effect were positive.</w:t>
      </w:r>
      <w:r>
        <w:t xml:space="preserve"> </w:t>
      </w:r>
      <w:r>
        <w:t xml:space="preserve">The effect was associated with a pd of 0.98, indicating that approximately 98% of the posterior distribution supported a positive effect.</w:t>
      </w:r>
      <w:r>
        <w:t xml:space="preserve"> </w:t>
      </w:r>
      <w:r>
        <w:t xml:space="preserve">Additionally, only 4% of the posterior distribution fell within the ROPE, suggesting that most credible parameter values were not practically equivalent to zero.</w:t>
      </w:r>
      <w:r>
        <w:t xml:space="preserve"> </w:t>
      </w:r>
      <w:r>
        <w:t xml:space="preserve">Taken together, these results provide evidence that triple cognates were identified more accurately than double cognates, although the evidence was somewhat weaker than that observed for the non-cognate effect.</w:t>
      </w:r>
    </w:p>
    <w:p>
      <w:pPr>
        <w:pStyle w:val="BodyText"/>
      </w:pPr>
      <w:r>
        <w:t xml:space="preserve">Higher numbers for both the continuous predictors lexical frequency and proficiency were associated with higher accuracy.</w:t>
      </w:r>
      <w:r>
        <w:t xml:space="preserve"> </w:t>
      </w:r>
      <w:r>
        <w:t xml:space="preserve">For lexical frequency, the median estimate was 1.01 [0.79, 1.24], indicating that a one standard deviation increase in lexical frequency was associated with an increase of 1.01 in the log-odds of a correct response.</w:t>
      </w:r>
      <w:r>
        <w:t xml:space="preserve"> </w:t>
      </w:r>
      <w:r>
        <w:t xml:space="preserve">Holding all other predictors constant, predicted accuracy increases to around 96.6% in words that were 1 standard deviation more frequent than average, while it dropped to 79.1% for words that were one standard deviation less frequent than average.</w:t>
      </w:r>
      <w:r>
        <w:t xml:space="preserve"> </w:t>
      </w:r>
      <w:r>
        <w:t xml:space="preserve">Again, the pd (1) and ROPE percentage (0%) provide strong evidence for the existence of a positive association between lexical frequency and accuracy.</w:t>
      </w:r>
      <w:r>
        <w:t xml:space="preserve"> </w:t>
      </w:r>
      <w:r>
        <w:t xml:space="preserve">Proficiency was also shown the be positively associated with accuracy; the estimate 0.78 [0.43, 1.15] suggests that a one standard deviation increase in the adapted LexTALE score was associated with an increase of 0.78 increase in the log-odds of a correct response.</w:t>
      </w:r>
      <w:r>
        <w:t xml:space="preserve"> </w:t>
      </w:r>
      <w:r>
        <w:t xml:space="preserve">Predicted accuracy increases to around 96.6% by participants that were 1 standard deviation more proficient than average, while it dropped to 82.6% for participants that were one standard deviation less proficient than average.</w:t>
      </w:r>
      <w:r>
        <w:t xml:space="preserve"> </w:t>
      </w:r>
      <w:r>
        <w:t xml:space="preserve">Like frequency, the pd (1) and ROPE percentage (0) provide compelling evidence of that the effect is positive and not negligible.</w:t>
      </w:r>
    </w:p>
    <w:p>
      <w:pPr>
        <w:pStyle w:val="CaptionedFigure"/>
      </w:pPr>
      <w:r>
        <w:drawing>
          <wp:inline>
            <wp:extent cx="4579632" cy="3662179"/>
            <wp:effectExtent b="0" l="0" r="0" t="0"/>
            <wp:docPr descr="Figure 5: Posterior Distributions of the accuracy model" title="" id="95" name="Picture"/>
            <a:graphic>
              <a:graphicData uri="http://schemas.openxmlformats.org/drawingml/2006/picture">
                <pic:pic>
                  <pic:nvPicPr>
                    <pic:cNvPr descr="../plots/acc_mod.png" id="96" name="Picture"/>
                    <pic:cNvPicPr>
                      <a:picLocks noChangeArrowheads="1" noChangeAspect="1"/>
                    </pic:cNvPicPr>
                  </pic:nvPicPr>
                  <pic:blipFill>
                    <a:blip r:embed="rId94"/>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97" w:name="fig:accmod"/>
      <w:bookmarkEnd w:id="97"/>
      <w:r>
        <w:t xml:space="preserve">Figure 5: Posterior Distributions of the accuracy model</w:t>
      </w:r>
    </w:p>
    <w:bookmarkEnd w:id="98"/>
    <w:bookmarkStart w:id="116" w:name="reaction-time"/>
    <w:p>
      <w:pPr>
        <w:pStyle w:val="Heading2"/>
      </w:pPr>
      <w:r>
        <w:t xml:space="preserve">Reaction time</w:t>
      </w:r>
    </w:p>
    <w:p>
      <w:pPr>
        <w:pStyle w:val="FirstParagraph"/>
      </w:pPr>
      <w:r>
        <w:t xml:space="preserve">Like accuracy, the analysis of the reaction time data showed evidence of a general cognate facilitation effect.</w:t>
      </w:r>
      <w:r>
        <w:t xml:space="preserve"> </w:t>
      </w:r>
      <w:r>
        <w:t xml:space="preserve">Figure</w:t>
      </w:r>
      <w:r>
        <w:t xml:space="preserve"> </w:t>
      </w:r>
      <w:r>
        <w:t xml:space="preserve">6</w:t>
      </w:r>
      <w:r>
        <w:t xml:space="preserve"> </w:t>
      </w:r>
      <w:r>
        <w:t xml:space="preserve">shows the overall mean reaction times in milliseconds in for each word type.</w:t>
      </w:r>
      <w:r>
        <w:t xml:space="preserve"> </w:t>
      </w:r>
      <w:r>
        <w:t xml:space="preserve">Non-cognate words were recognized as real words slowest (mean reaction time 881.67ms, sd = 304.77), while both two-way (827.33ms, sd = 296.70) and triple cognates were recognized faster 817.38ms, sd = 263.04.</w:t>
      </w:r>
      <w:r>
        <w:t xml:space="preserve"> </w:t>
      </w:r>
      <w:r>
        <w:t xml:space="preserve">The difference in reaction time between two-way and triple cognates was quite small (d = .03).</w:t>
      </w:r>
    </w:p>
    <w:p>
      <w:pPr>
        <w:pStyle w:val="BodyText"/>
      </w:pPr>
      <w:r>
        <w:t xml:space="preserve">In the case of reaction time, there were even more pronounced differences regarding individual differences.</w:t>
      </w:r>
      <w:r>
        <w:t xml:space="preserve"> </w:t>
      </w:r>
      <w:r>
        <w:t xml:space="preserve">Figure</w:t>
      </w:r>
      <w:r>
        <w:t xml:space="preserve"> </w:t>
      </w:r>
      <w:r>
        <w:t xml:space="preserve">7</w:t>
      </w:r>
      <w:r>
        <w:t xml:space="preserve"> </w:t>
      </w:r>
      <w:r>
        <w:t xml:space="preserve">shows individual effect sizes in three situations: going from double to triple cognates, non-cognates to double cognates, and non-cognates to triple cognates.</w:t>
      </w:r>
      <w:r>
        <w:t xml:space="preserve"> </w:t>
      </w:r>
      <w:r>
        <w:t xml:space="preserve">It was predicted that if there was a cumulative effect of cognate facilitation, that double to triple cognates would yield negative effects.</w:t>
      </w:r>
      <w:r>
        <w:t xml:space="preserve"> </w:t>
      </w:r>
      <w:r>
        <w:t xml:space="preserve">However, many participants were faster (14 of 35) in double cognates than triple cognates, while the remaining 21 participants showed the opposite pattern and processed triple cognates fastest.</w:t>
      </w:r>
      <w:r>
        <w:br/>
      </w:r>
      <w:r>
        <w:t xml:space="preserve">The second facet shows the individual effects for non-cognates relative to double cognates.</w:t>
      </w:r>
      <w:r>
        <w:br/>
      </w:r>
      <w:r>
        <w:t xml:space="preserve">In this instance, as expected, most participants (26) were faster for double cognates than non-cognates, although 26 individuals were not.</w:t>
      </w:r>
      <w:r>
        <w:t xml:space="preserve"> </w:t>
      </w:r>
      <w:r>
        <w:t xml:space="preserve">Similar proportions of participants were also faster at deciding that triple cognates were real words (27).</w:t>
      </w:r>
      <w:r>
        <w:t xml:space="preserve"> </w:t>
      </w:r>
      <w:r>
        <w:t xml:space="preserve">Taken together, these results suggest that while most individuals showed descriptive evidence general cognate effects in reaction time, there was not strong evidence for a cumulative effect in which triple cognates were processed faster than double cognates.</w:t>
      </w:r>
    </w:p>
    <w:p>
      <w:pPr>
        <w:pStyle w:val="BodyText"/>
      </w:pPr>
      <w:r>
        <w:t xml:space="preserve">Unlike accuracy, there was no descriptive evidence regarding a relationship between differences in reaction time and L3 proficiency.</w:t>
      </w:r>
      <w:r>
        <w:t xml:space="preserve"> </w:t>
      </w:r>
      <w:r>
        <w:t xml:space="preserve">Figure</w:t>
      </w:r>
      <w:r>
        <w:t xml:space="preserve"> </w:t>
      </w:r>
      <w:r>
        <w:t xml:space="preserve">8</w:t>
      </w:r>
      <w:r>
        <w:t xml:space="preserve"> </w:t>
      </w:r>
      <w:r>
        <w:t xml:space="preserve">shows the individual effect sizes for non-cognates to double cognates, non-cognates to triple cognates, and cumulative (double cognate to triple cognates).</w:t>
      </w:r>
      <w:r>
        <w:t xml:space="preserve"> </w:t>
      </w:r>
      <w:r>
        <w:t xml:space="preserve">A negative value in this case indicates that a specific participant was faster in the latter conditon (e.g. a negative value for non-cognates to double cognates would show that the participant reacted faster on average to double cognates).</w:t>
      </w:r>
      <w:r>
        <w:t xml:space="preserve"> </w:t>
      </w:r>
      <w:r>
        <w:t xml:space="preserve">The relatively flat slopes on the fitted lines in each case suggests that the mangnitude of effects does not vary by proficiency level.</w:t>
      </w:r>
    </w:p>
    <w:p>
      <w:pPr>
        <w:pStyle w:val="CaptionedFigure"/>
      </w:pPr>
      <w:r>
        <w:drawing>
          <wp:inline>
            <wp:extent cx="4579632" cy="3662179"/>
            <wp:effectExtent b="0" l="0" r="0" t="0"/>
            <wp:docPr descr="Figure 6: Mean reaction time of each word type" title="" id="100" name="Picture"/>
            <a:graphic>
              <a:graphicData uri="http://schemas.openxmlformats.org/drawingml/2006/picture">
                <pic:pic>
                  <pic:nvPicPr>
                    <pic:cNvPr descr="../plots/over_rt.png" id="101" name="Picture"/>
                    <pic:cNvPicPr>
                      <a:picLocks noChangeArrowheads="1" noChangeAspect="1"/>
                    </pic:cNvPicPr>
                  </pic:nvPicPr>
                  <pic:blipFill>
                    <a:blip r:embed="rId99"/>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102" w:name="fig:overt"/>
      <w:bookmarkEnd w:id="102"/>
      <w:r>
        <w:t xml:space="preserve">Figure 6: Mean reaction time of each word type</w:t>
      </w:r>
    </w:p>
    <w:p>
      <w:pPr>
        <w:pStyle w:val="CaptionedFigure"/>
      </w:pPr>
      <w:r>
        <w:drawing>
          <wp:inline>
            <wp:extent cx="4579632" cy="3662179"/>
            <wp:effectExtent b="0" l="0" r="0" t="0"/>
            <wp:docPr descr="Figure 7: Individual effects in reaction times" title="" id="104" name="Picture"/>
            <a:graphic>
              <a:graphicData uri="http://schemas.openxmlformats.org/drawingml/2006/picture">
                <pic:pic>
                  <pic:nvPicPr>
                    <pic:cNvPr descr="../plots/ind_rt.png" id="105" name="Picture"/>
                    <pic:cNvPicPr>
                      <a:picLocks noChangeArrowheads="1" noChangeAspect="1"/>
                    </pic:cNvPicPr>
                  </pic:nvPicPr>
                  <pic:blipFill>
                    <a:blip r:embed="rId103"/>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106" w:name="fig:indrt"/>
      <w:bookmarkEnd w:id="106"/>
      <w:r>
        <w:t xml:space="preserve">Figure 7: Individual effects in reaction times</w:t>
      </w:r>
    </w:p>
    <w:p>
      <w:pPr>
        <w:pStyle w:val="CaptionedFigure"/>
      </w:pPr>
      <w:r>
        <w:drawing>
          <wp:inline>
            <wp:extent cx="4579632" cy="3662179"/>
            <wp:effectExtent b="0" l="0" r="0" t="0"/>
            <wp:docPr descr="Figure 8: Individual effects in reaction times as a function of L3 proficiency" title="" id="108" name="Picture"/>
            <a:graphic>
              <a:graphicData uri="http://schemas.openxmlformats.org/drawingml/2006/picture">
                <pic:pic>
                  <pic:nvPicPr>
                    <pic:cNvPr descr="../plots/rt_prof.png" id="109" name="Picture"/>
                    <pic:cNvPicPr>
                      <a:picLocks noChangeArrowheads="1" noChangeAspect="1"/>
                    </pic:cNvPicPr>
                  </pic:nvPicPr>
                  <pic:blipFill>
                    <a:blip r:embed="rId107"/>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110" w:name="fig:indrtprof"/>
      <w:bookmarkEnd w:id="110"/>
      <w:r>
        <w:t xml:space="preserve">Figure 8: Individual effects in reaction times as a function of L3 proficiency</w:t>
      </w:r>
    </w:p>
    <w:p>
      <w:pPr>
        <w:pStyle w:val="CaptionedFigure"/>
      </w:pPr>
      <w:r>
        <w:drawing>
          <wp:inline>
            <wp:extent cx="4579632" cy="3662179"/>
            <wp:effectExtent b="0" l="0" r="0" t="0"/>
            <wp:docPr descr="Figure 9: Posterior Distributions of the reaction time model" title="" id="112" name="Picture"/>
            <a:graphic>
              <a:graphicData uri="http://schemas.openxmlformats.org/drawingml/2006/picture">
                <pic:pic>
                  <pic:nvPicPr>
                    <pic:cNvPr descr="../plots/rt_mod.png" id="113" name="Picture"/>
                    <pic:cNvPicPr>
                      <a:picLocks noChangeArrowheads="1" noChangeAspect="1"/>
                    </pic:cNvPicPr>
                  </pic:nvPicPr>
                  <pic:blipFill>
                    <a:blip r:embed="rId111"/>
                    <a:stretch>
                      <a:fillRect/>
                    </a:stretch>
                  </pic:blipFill>
                  <pic:spPr bwMode="auto">
                    <a:xfrm>
                      <a:off x="0" y="0"/>
                      <a:ext cx="4579632" cy="3662179"/>
                    </a:xfrm>
                    <a:prstGeom prst="rect">
                      <a:avLst/>
                    </a:prstGeom>
                    <a:noFill/>
                    <a:ln w="9525">
                      <a:noFill/>
                      <a:headEnd/>
                      <a:tailEnd/>
                    </a:ln>
                  </pic:spPr>
                </pic:pic>
              </a:graphicData>
            </a:graphic>
          </wp:inline>
        </w:drawing>
      </w:r>
    </w:p>
    <w:p>
      <w:pPr>
        <w:pStyle w:val="ImageCaption"/>
      </w:pPr>
      <w:bookmarkStart w:id="114" w:name="fig:retmod"/>
      <w:bookmarkEnd w:id="114"/>
      <w:r>
        <w:t xml:space="preserve">Figure 9: Posterior Distributions of the reaction time model</w:t>
      </w:r>
    </w:p>
    <w:p>
      <w:pPr>
        <w:pStyle w:val="TableCaption"/>
      </w:pPr>
      <w:bookmarkStart w:id="115" w:name="tab:unnamed-chunk-18"/>
      <w:bookmarkEnd w:id="115"/>
      <w:r>
        <w:t xml:space="preserve">Table 3:</w:t>
      </w:r>
      <w:r>
        <w:t xml:space="preserve"> </w:t>
      </w:r>
      <w:r>
        <w:t xml:space="preserve">Posterior Distribution of the Reaction Time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584"/>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998.69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b_typenon_cognate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4,868.24</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4,197.74</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b_frequency_z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[-0.08,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6,185.96</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b_proficiency_z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[-0.09, 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1,358.50</w:t>
            </w:r>
          </w:p>
        </w:tc>
      </w:tr>
    </w:tbl>
    <w:p>
      <w:pPr>
        <w:pStyle w:val="BodyText"/>
      </w:pPr>
      <w:r>
        <w:t xml:space="preserve">The Bayesian model largely corroborated the descriptive results for reaction time.</w:t>
      </w:r>
      <w:r>
        <w:t xml:space="preserve"> </w:t>
      </w:r>
      <w:r>
        <w:t xml:space="preserve">Figure</w:t>
      </w:r>
      <w:r>
        <w:t xml:space="preserve"> </w:t>
      </w:r>
      <w:r>
        <w:t xml:space="preserve">9</w:t>
      </w:r>
      <w:r>
        <w:t xml:space="preserve"> </w:t>
      </w:r>
      <w:r>
        <w:t xml:space="preserve">visualized the posterior distribution of the Bayesian model while Table 3 provides additional details regarding the posterior shape and fit.</w:t>
      </w:r>
      <w:r>
        <w:t xml:space="preserve"> </w:t>
      </w:r>
      <w:r>
        <w:t xml:space="preserve">The intercept term of this model (-0.23) corresponds to the log reaction time of a double cognate of average frequency by a participant with average proficiency.</w:t>
      </w:r>
      <w:r>
        <w:t xml:space="preserve"> </w:t>
      </w:r>
      <w:r>
        <w:t xml:space="preserve">This value corresponds to 794.53 milliseconds.</w:t>
      </w:r>
      <w:r>
        <w:t xml:space="preserve"> </w:t>
      </w:r>
      <w:r>
        <w:t xml:space="preserve">The non-cognate model term is 0.08 [0.04, 0.12] and indicates a slow down relative to double cognates of about 288.75 milliseconds.</w:t>
      </w:r>
      <w:r>
        <w:t xml:space="preserve"> </w:t>
      </w:r>
      <w:r>
        <w:t xml:space="preserve">triple cognates were predicted to be processed slightly faster that double cognates (-0.02 [-0.07, 0.02]), but had both positive and negative plausible estimates in the posterior distribution, as well as a relatively low pd (0.83) and % in the ROPE.</w:t>
      </w:r>
      <w:r>
        <w:t xml:space="preserve"> </w:t>
      </w:r>
      <w:r>
        <w:t xml:space="preserve">Lexical frequency was a strong predictor of reaction time.</w:t>
      </w:r>
      <w:r>
        <w:t xml:space="preserve"> </w:t>
      </w:r>
      <w:r>
        <w:t xml:space="preserve">Like with accuracy, the model term represents the change in reaction time for a one standard deviation increase in frequency and in this case predicts faster reactions (-0.07 [-0.08, -0.05]) in more frequent words corresponding to</w:t>
      </w:r>
      <w:r>
        <w:t xml:space="preserve"> </w:t>
      </w:r>
      <w:r>
        <w:rPr>
          <w:rStyle w:val="VerbatimChar"/>
        </w:rPr>
        <w:t xml:space="preserve">round2(abs(exp(rt_table$Median[1])*1000 - exp(rt_table$Median[4])*1000))</w:t>
      </w:r>
      <w:r>
        <w:t xml:space="preserve"> </w:t>
      </w:r>
      <w:r>
        <w:t xml:space="preserve">milliseconds.</w:t>
      </w:r>
      <w:r>
        <w:t xml:space="preserve"> </w:t>
      </w:r>
      <w:r>
        <w:t xml:space="preserve">Finally, the adapted LexTALE score (proficiency) was associated with a slight speedup in processing, but this difference did not fall completely outside the ROPE (-0.03 [-0.09, 0.02]), rendering the effect inconclusive.</w:t>
      </w:r>
      <w:r>
        <w:t xml:space="preserve"> </w:t>
      </w:r>
      <w:r>
        <w:t xml:space="preserve">Taken together, the results of the model point to a general cognate effect that is not explained by proficiency and with lexical frequency held constant.</w:t>
      </w:r>
      <w:r>
        <w:t xml:space="preserve"> </w:t>
      </w:r>
      <w:r>
        <w:t xml:space="preserve">Importantly, the model does not support a cumulative effect in lexical decisions.</w:t>
      </w:r>
    </w:p>
    <w:bookmarkEnd w:id="116"/>
    <w:bookmarkEnd w:id="117"/>
    <w:bookmarkStart w:id="121" w:name="discussion"/>
    <w:p>
      <w:pPr>
        <w:pStyle w:val="Heading1"/>
      </w:pPr>
      <w:r>
        <w:t xml:space="preserve">Discussion</w:t>
      </w:r>
    </w:p>
    <w:p>
      <w:pPr>
        <w:pStyle w:val="FirstParagraph"/>
      </w:pPr>
      <w:r>
        <w:t xml:space="preserve">The present study investigated whether cognate facilitation effects accumulate across three languages in multilingual individuals (L1 German, L2 English, L3 Spanish) by comparing the processing of double cognates (English-Spanish), triple cognates (German-English-Spanish), and noncognates in a visual lexical decision task in Spanish.</w:t>
      </w:r>
      <w:r>
        <w:t xml:space="preserve"> </w:t>
      </w:r>
      <w:r>
        <w:t xml:space="preserve">In addition, the study examined the role of L3 proficiency in lexical processing.</w:t>
      </w:r>
      <w:r>
        <w:t xml:space="preserve"> </w:t>
      </w:r>
      <w:r>
        <w:t xml:space="preserve">Overall, the findings provided strong evidence for a cognate facilitation effect in L3 Spanish, but the evidence for a cumulative facilitation effect differed across dependent measures.</w:t>
      </w:r>
      <w:r>
        <w:t xml:space="preserve"> </w:t>
      </w:r>
      <w:r>
        <w:t xml:space="preserve">In accuracy, participants performed best with triple cognates, followed by double cognates and noncognates.</w:t>
      </w:r>
      <w:r>
        <w:t xml:space="preserve"> </w:t>
      </w:r>
      <w:r>
        <w:t xml:space="preserve">In response time, both double and triple cognates were processed faster than noncognates, but there was no compelling evidence that triple cognates were processed faster than double cognates.</w:t>
      </w:r>
      <w:r>
        <w:t xml:space="preserve"> </w:t>
      </w:r>
      <w:r>
        <w:t xml:space="preserve">Thus, the results reveal an asymmetry between accuracy and speed of lexical processing for a cumulative facilitation effect.</w:t>
      </w:r>
    </w:p>
    <w:bookmarkStart w:id="118"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more efficiently than double cognates.</w:t>
      </w:r>
      <w:r>
        <w:t xml:space="preserve"> </w:t>
      </w:r>
      <w:r>
        <w:t xml:space="preserve">Given the mixed findings in previous research, we considered two primary possibilities.</w:t>
      </w:r>
      <w:r>
        <w:t xml:space="preserve"> </w:t>
      </w:r>
      <w:r>
        <w:t xml:space="preserve">Following the Accumulation model</w:t>
      </w:r>
      <w:r>
        <w:t xml:space="preserve"> </w:t>
      </w:r>
      <w:r>
        <w:t xml:space="preserve">(Bartolotti &amp; Marian, 2017)</w:t>
      </w:r>
      <w:r>
        <w:t xml:space="preserve"> </w:t>
      </w:r>
      <w:r>
        <w:t xml:space="preserve">and previous evidence of cumulative cognate effects</w:t>
      </w:r>
      <w:r>
        <w:t xml:space="preserve"> </w:t>
      </w:r>
      <w:r>
        <w:t xml:space="preserve">(e.g., De Angelis, 2007; Foryś-Nogala et al., 2026; Lemhöfer et al., 2004; Poarch &amp; Hell, 2014; Szubko-Sitarek, 2011)</w:t>
      </w:r>
      <w:r>
        <w:t xml:space="preserve">, triple cognates might receive an additional processing benefit because they activate overlapping representations in both previously acquired languages.</w:t>
      </w:r>
      <w:r>
        <w:t xml:space="preserve"> </w:t>
      </w:r>
      <w:r>
        <w:t xml:space="preserve">Alternatively, following the Scaffolding model</w:t>
      </w:r>
      <w:r>
        <w:t xml:space="preserve"> </w:t>
      </w:r>
      <w:r>
        <w:t xml:space="preserve">(Bartolotti &amp; Marian, 2017)</w:t>
      </w:r>
      <w:r>
        <w:t xml:space="preserve"> </w:t>
      </w:r>
      <w:r>
        <w:t xml:space="preserve">and previous evidence of non-cumulative facilitation</w:t>
      </w:r>
      <w:r>
        <w:t xml:space="preserve"> </w:t>
      </w:r>
      <w:r>
        <w:t xml:space="preserve">(e.g., Bartolotti &amp; Marian, 2017; De Angelis, 2007; Engemann &amp; Radetzky, 2024; Lijewska, 2023; Lijewska &amp; Louw, 2025)</w:t>
      </w:r>
      <w:r>
        <w:t xml:space="preserve">, lexical overlap with one previously acquired language may be sufficient to facilitate processing, such that additional overlap with a second language provides little or no further benefit.</w:t>
      </w:r>
    </w:p>
    <w:p>
      <w:pPr>
        <w:pStyle w:val="BodyText"/>
      </w:pPr>
      <w:r>
        <w:t xml:space="preserve">Our results provided strong evidence of a general cognate facilitation effect.</w:t>
      </w:r>
      <w:r>
        <w:t xml:space="preserve"> </w:t>
      </w:r>
      <w:r>
        <w:t xml:space="preserve">In both accuracy and response time, cognates were processed more successfully than noncognates.</w:t>
      </w:r>
      <w:r>
        <w:t xml:space="preserve"> </w:t>
      </w:r>
      <w:r>
        <w:t xml:space="preserve">Double and triple cognates yielded substantially higher accuracy than noncognates, and both cognate types were also recognized more quickly than noncognates.</w:t>
      </w:r>
      <w:r>
        <w:t xml:space="preserve"> </w:t>
      </w:r>
      <w:r>
        <w:t xml:space="preserve">This pattern is consistent with models of non-selective lexical access, according to which lexical representations from non-target languages remain activated during target-language processing</w:t>
      </w:r>
      <w:r>
        <w:t xml:space="preserve"> </w:t>
      </w:r>
      <w:r>
        <w:t xml:space="preserve">(Dijkstra et al., 2018; Dijkstra &amp; Van Heuven, 2002)</w:t>
      </w:r>
      <w:r>
        <w:t xml:space="preserve">.</w:t>
      </w:r>
      <w:r>
        <w:t xml:space="preserve"> </w:t>
      </w:r>
      <w:r>
        <w:t xml:space="preserve">It is also consistent with extensive evidence from multilingual research showing that knowledge of previously acquired languages facilitates the recognition or production of cognates in an L3</w:t>
      </w:r>
      <w:r>
        <w:t xml:space="preserve"> </w:t>
      </w:r>
      <w:r>
        <w:t xml:space="preserve">(e.g., Lemhöfer et al., 2004; Poarch &amp; Hell, 2014; Szubko-Sitarek, 2011)</w:t>
      </w:r>
      <w:r>
        <w:t xml:space="preserve">.</w:t>
      </w:r>
    </w:p>
    <w:p>
      <w:pPr>
        <w:pStyle w:val="BodyText"/>
      </w:pPr>
      <w:r>
        <w:t xml:space="preserve">Crucially, however, the evidence regarding cumulative facilitation differed between accuracy and response time.</w:t>
      </w:r>
      <w:r>
        <w:t xml:space="preserve"> </w:t>
      </w:r>
      <w:r>
        <w:t xml:space="preserve">The accuracy results showed a graded pattern in which triple cognates were identified most accurately, followed by double cognates and then noncognates.</w:t>
      </w:r>
      <w:r>
        <w:t xml:space="preserve"> </w:t>
      </w:r>
      <w:r>
        <w:t xml:space="preserve">This finding is compatible with the Accumulation model</w:t>
      </w:r>
      <w:r>
        <w:t xml:space="preserve"> </w:t>
      </w:r>
      <w:r>
        <w:t xml:space="preserve">(Bartolotti &amp; Marian, 2017)</w:t>
      </w:r>
      <w:r>
        <w:t xml:space="preserve">, according to which overlap across multiple previously acquired languages can produce additive lexical benefits.</w:t>
      </w:r>
      <w:r>
        <w:t xml:space="preserve"> </w:t>
      </w:r>
      <w:r>
        <w:t xml:space="preserve">It also converges with studies reporting stronger facilitation for triple than double cognates.</w:t>
      </w:r>
      <w:r>
        <w:t xml:space="preserve"> </w:t>
      </w:r>
      <w:r>
        <w:t xml:space="preserve">Lemhöfer et al. (2004)</w:t>
      </w:r>
      <w:r>
        <w:t xml:space="preserve">, for example, found cumulative cognate effects in L3 lexical decision, and</w:t>
      </w:r>
      <w:r>
        <w:t xml:space="preserve"> </w:t>
      </w:r>
      <w:r>
        <w:t xml:space="preserve">Szubko-Sitarek (2011)</w:t>
      </w:r>
      <w:r>
        <w:t xml:space="preserve"> </w:t>
      </w:r>
      <w:r>
        <w:t xml:space="preserve">likewise reported stronger facilitation for triple than double cognates in L3 word recognition.</w:t>
      </w:r>
      <w:r>
        <w:t xml:space="preserve"> </w:t>
      </w:r>
      <w:r>
        <w:t xml:space="preserve">Previous research has therefore demonstrated that lexical overlap across three languages can, under some conditions, provide an additional advantage beyond overlap across two languages.</w:t>
      </w:r>
    </w:p>
    <w:p>
      <w:pPr>
        <w:pStyle w:val="BodyText"/>
      </w:pPr>
      <w:r>
        <w:t xml:space="preserve">However, the response time results produced a different pattern.</w:t>
      </w:r>
      <w:r>
        <w:t xml:space="preserve"> </w:t>
      </w:r>
      <w:r>
        <w:t xml:space="preserve">Although both cognate conditions were faster than noncognates, triple cognates were only approximately 10 ms faster than double cognates.</w:t>
      </w:r>
      <w:r>
        <w:t xml:space="preserve"> </w:t>
      </w:r>
      <w:r>
        <w:t xml:space="preserve">Thus, the response time data provided no compelling evidence that additional overlap with German produced a further benefit in the speed with which L3 Spanish words were recognized.</w:t>
      </w:r>
      <w:r>
        <w:t xml:space="preserve"> </w:t>
      </w:r>
      <w:r>
        <w:t xml:space="preserve">In this respect, the response time results are more consistent with the Scaffolding model</w:t>
      </w:r>
      <w:r>
        <w:t xml:space="preserve"> </w:t>
      </w:r>
      <w:r>
        <w:t xml:space="preserve">(Bartolotti &amp; Marian, 2017)</w:t>
      </w:r>
      <w:r>
        <w:t xml:space="preserve"> </w:t>
      </w:r>
      <w:r>
        <w:t xml:space="preserve">and previous studies that found no cumulative benefits</w:t>
      </w:r>
      <w:r>
        <w:t xml:space="preserve"> </w:t>
      </w:r>
      <w:r>
        <w:t xml:space="preserve">(e.g., Bartolotti &amp; Marian, 2017; Engemann &amp; Radetzky, 2024; Lijewska, 2023; Lijewska &amp; Louw, 2025)</w:t>
      </w:r>
      <w:r>
        <w:t xml:space="preserve">.</w:t>
      </w:r>
      <w:r>
        <w:t xml:space="preserve"> </w:t>
      </w:r>
      <w:r>
        <w:t xml:space="preserve">Overlap with English may have been sufficient to facilitate L3 lexical access, with additional overlap with German producing little additional reduction in processing speed.</w:t>
      </w:r>
    </w:p>
    <w:p>
      <w:pPr>
        <w:pStyle w:val="BodyText"/>
      </w:pPr>
      <w:r>
        <w:t xml:space="preserve">The discrepancy between accuracy and response time is not unprecedented in cognate processing research.</w:t>
      </w:r>
      <w:r>
        <w:t xml:space="preserve"> </w:t>
      </w:r>
      <w:r>
        <w:t xml:space="preserve">Previous studies have reported cognate facilitation in accuracy in the absence of corresponding effects in processing speed</w:t>
      </w:r>
      <w:r>
        <w:t xml:space="preserve"> </w:t>
      </w:r>
      <w:r>
        <w:t xml:space="preserve">(Engemann &amp; Radetzky, 2024; Koutamanis, Kootstra, Dijkstra, &amp; Unsworth, 2024)</w:t>
      </w:r>
      <w:r>
        <w:t xml:space="preserve">, suggesting that accuracy and latency may capture partially distinct consequences of cross-linguistic activation.</w:t>
      </w:r>
      <w:r>
        <w:t xml:space="preserve"> </w:t>
      </w:r>
      <w:r>
        <w:t xml:space="preserve">Importantly,</w:t>
      </w:r>
      <w:r>
        <w:t xml:space="preserve"> </w:t>
      </w:r>
      <w:r>
        <w:t xml:space="preserve">Covey &amp; Mikheeva (2023)</w:t>
      </w:r>
      <w:r>
        <w:t xml:space="preserve"> </w:t>
      </w:r>
      <w:r>
        <w:t xml:space="preserve">reported a dissociation between accuracy and latency in the processing of double and triple cognates.</w:t>
      </w:r>
      <w:r>
        <w:t xml:space="preserve"> </w:t>
      </w:r>
      <w:r>
        <w:t xml:space="preserve">They examined Russian-English-German trilinguals in picture naming and found a particularly similar pattern.</w:t>
      </w:r>
      <w:r>
        <w:t xml:space="preserve"> </w:t>
      </w:r>
      <w:r>
        <w:t xml:space="preserve">Their participants were most accurate with triple cognates, followed by double cognates and noncognates.</w:t>
      </w:r>
      <w:r>
        <w:t xml:space="preserve"> </w:t>
      </w:r>
      <w:r>
        <w:t xml:space="preserve">In contrast, word type did not significantly affect naming latency.</w:t>
      </w:r>
      <w:r>
        <w:t xml:space="preserve"> </w:t>
      </w:r>
      <w:r>
        <w:t xml:space="preserve">Their findings showed that cumulative cross-linguistic overlap can appear clearly in accuracy without producing a corresponding cumulative advantage in response speed, closely paralleling the dissociation observed in the present study.</w:t>
      </w:r>
      <w:r>
        <w:t xml:space="preserve"> </w:t>
      </w:r>
      <w:r>
        <w:t xml:space="preserve">Greater overlap across three languages may increase the strength or reliability with which the target lexical representation is activated, increasing the probability that a word is correctly recognized, without necessarily accelerating lexical access beyond the advantage already provided by overlap between the L2 and L3.</w:t>
      </w:r>
      <w:r>
        <w:t xml:space="preserve"> </w:t>
      </w:r>
      <w:r>
        <w:t xml:space="preserve">In other words, activation from an additional language may improve the likelihood of successful lexical identification more readily than it improves the speed of an already successful response.</w:t>
      </w:r>
    </w:p>
    <w:p>
      <w:pPr>
        <w:pStyle w:val="BodyText"/>
      </w:pPr>
      <w:r>
        <w:t xml:space="preserve">The difference between the two measures may also partly reflect the structure of the response time analysis itself.</w:t>
      </w:r>
      <w:r>
        <w:t xml:space="preserve"> </w:t>
      </w:r>
      <w:r>
        <w:t xml:space="preserve">Following previous studies</w:t>
      </w:r>
      <w:r>
        <w:t xml:space="preserve"> </w:t>
      </w:r>
      <w:r>
        <w:t xml:space="preserve">(e.g., Covey &amp; Mikheeva, 2023; Engemann &amp; Radetzky, 2024; Lemhöfer et al., 2004; Poarch &amp; Hell, 2014; Szubko-Sitarek, 2011)</w:t>
      </w:r>
      <w:r>
        <w:t xml:space="preserve">, reaction times were analyzed only for correct responses, meaning that the trials in which cross-linguistic overlap may have been especially beneficial for achieving successful recognition are not represented in the latency analysis.</w:t>
      </w:r>
      <w:r>
        <w:t xml:space="preserve"> </w:t>
      </w:r>
      <w:r>
        <w:t xml:space="preserve">This could reduce differences between double and triple cognates among the subset of items that participants were already able to identify correctly.</w:t>
      </w:r>
    </w:p>
    <w:p>
      <w:pPr>
        <w:pStyle w:val="BodyText"/>
      </w:pPr>
      <w:r>
        <w:t xml:space="preserve">Consequently, the present findings do not support a categorical conclusion that multilingual lexical influence is either cumulative or non-cumulative.</w:t>
      </w:r>
      <w:r>
        <w:t xml:space="preserve"> </w:t>
      </w:r>
      <w:r>
        <w:t xml:space="preserve">Instead, they suggest that the consequences of cumulative cross-linguistic overlap may depend on the particular dimension of processing being measured.</w:t>
      </w:r>
      <w:r>
        <w:t xml:space="preserve"> </w:t>
      </w:r>
      <w:r>
        <w:t xml:space="preserve">The additional German-English-Spanish overlap associated with triple cognates increased recognition accuracy, but it did not yield compelling evidence of an additional speed advantage beyond that already provided by English-Spanish overlap.</w:t>
      </w:r>
      <w:r>
        <w:t xml:space="preserve"> </w:t>
      </w:r>
      <w:r>
        <w:t xml:space="preserve">This measure-dependent pattern may help explain some of the mixed findings in previous trilingual cognate research, where cumulative effects have varied across tasks, participant populations, and dependent measures.</w:t>
      </w:r>
    </w:p>
    <w:bookmarkEnd w:id="118"/>
    <w:bookmarkStart w:id="119" w:name="the-role-l3-proficiency"/>
    <w:p>
      <w:pPr>
        <w:pStyle w:val="Heading2"/>
      </w:pPr>
      <w:r>
        <w:t xml:space="preserve">The Role L3 Proficiency</w:t>
      </w:r>
    </w:p>
    <w:p>
      <w:pPr>
        <w:pStyle w:val="FirstParagraph"/>
      </w:pPr>
      <w:r>
        <w:t xml:space="preserve">Our second research question concerned the role of L3 proficiency in cognate processing.</w:t>
      </w:r>
      <w:r>
        <w:t xml:space="preserve"> </w:t>
      </w:r>
      <w:r>
        <w:t xml:space="preserve">We predicted that higher Spanish proficiency would be associated with stronger cognate facilitation, following previous work suggesting that sufficient proficiency may be necessary for weaker language representations to become strongly integrated into the multilingual lexical system</w:t>
      </w:r>
      <w:r>
        <w:t xml:space="preserve"> </w:t>
      </w:r>
      <w:r>
        <w:t xml:space="preserve">(e.g., Lemhöfer et al., 2004; Poarch &amp; Hell, 2014; Szubko-Sitarek, 2011)</w:t>
      </w:r>
      <w:r>
        <w:t xml:space="preserve">.</w:t>
      </w:r>
      <w:r>
        <w:t xml:space="preserve"> </w:t>
      </w:r>
      <w:r>
        <w:t xml:space="preserve">The results did not support a straightforward interpretation in which higher proficiency produces stronger cognate facilitation.</w:t>
      </w:r>
      <w:r>
        <w:t xml:space="preserve"> </w:t>
      </w:r>
      <w:r>
        <w:t xml:space="preserve">Instead, proficiency was clearly associated with greater overall accuracy, as participants with higher proficiency scores were more likely to identify Spanish words correctly across conditions.</w:t>
      </w:r>
    </w:p>
    <w:p>
      <w:pPr>
        <w:pStyle w:val="BodyText"/>
      </w:pPr>
      <w:r>
        <w:t xml:space="preserve">Importantly, however, the descriptive data suggested that the relative accuracy advantage for cognates over noncognates became smaller as proficiency increased.</w:t>
      </w:r>
      <w:r>
        <w:t xml:space="preserve"> </w:t>
      </w:r>
      <w:r>
        <w:t xml:space="preserve">Lower-proficiency participants appeared to rely more heavily on cross-linguistic overlap, whereas higher-proficiency participants performed increasingly well on noncognates as their Spanish lexical knowledge improved.</w:t>
      </w:r>
      <w:r>
        <w:t xml:space="preserve"> </w:t>
      </w:r>
      <w:r>
        <w:t xml:space="preserve">This pattern is consistent with</w:t>
      </w:r>
      <w:r>
        <w:t xml:space="preserve"> </w:t>
      </w:r>
      <w:r>
        <w:t xml:space="preserve">Covey &amp; Mikheeva (2023)</w:t>
      </w:r>
      <w:r>
        <w:t xml:space="preserve">, who found that greater L2 and L3 proficiency was associated with smaller cognate effects.</w:t>
      </w:r>
      <w:r>
        <w:t xml:space="preserve"> </w:t>
      </w:r>
      <w:r>
        <w:t xml:space="preserve">In their study, cognate status was particularly beneficial to less proficient multilingual speakers, suggesting that cross-linguistic overlap provides more benefits when representations of the target language are relatively weak.</w:t>
      </w:r>
      <w:r>
        <w:t xml:space="preserve"> </w:t>
      </w:r>
      <w:r>
        <w:t xml:space="preserve">As proficiency increases, successful lexical processing may depend less on support from related words in previously acquired languages.</w:t>
      </w:r>
      <w:r>
        <w:t xml:space="preserve"> </w:t>
      </w:r>
      <w:r>
        <w:t xml:space="preserve">The response time findings, however, provided no evidence that higher proficiency strengthened cognate facilitation.</w:t>
      </w:r>
      <w:r>
        <w:t xml:space="preserve"> </w:t>
      </w:r>
      <w:r>
        <w:t xml:space="preserve">Notably, whereas the results provided evidence of an overall proficiency effect, with more proficient participants performing more accurately overall, the findings did not support proficiency-related modulation of cognate facilitation.</w:t>
      </w:r>
    </w:p>
    <w:bookmarkEnd w:id="119"/>
    <w:bookmarkStart w:id="120" w:name="X34cb8421ee2df0f1a7181de3f744d8d9e3235c6"/>
    <w:p>
      <w:pPr>
        <w:pStyle w:val="Heading2"/>
      </w:pPr>
      <w:r>
        <w:t xml:space="preserve">Lexical Frequency and Individual Variation</w:t>
      </w:r>
    </w:p>
    <w:p>
      <w:pPr>
        <w:pStyle w:val="FirstParagraph"/>
      </w:pPr>
      <w:r>
        <w:t xml:space="preserve">Lexical frequency also made a substantial contribution to performance.</w:t>
      </w:r>
      <w:r>
        <w:t xml:space="preserve"> </w:t>
      </w:r>
      <w:r>
        <w:t xml:space="preserve">More frequent words were both more accurately recognized and processed more quickly than less frequent words.</w:t>
      </w:r>
      <w:r>
        <w:t xml:space="preserve"> </w:t>
      </w:r>
      <w:r>
        <w:t xml:space="preserve">Although frequency was included primarily as a control variable rather than as a central theoretical predictor, its robust effects confirm that lexical accessibility contributed independently to performance beyond cognate status.</w:t>
      </w:r>
      <w:r>
        <w:t xml:space="preserve"> </w:t>
      </w:r>
      <w:r>
        <w:t xml:space="preserve">Importantly, the cognate effects remained after lexical frequency was statistically controlled, indicating that the advantage for cognates cannot simply be attributed to differences in Spanish word frequency.</w:t>
      </w:r>
    </w:p>
    <w:p>
      <w:pPr>
        <w:pStyle w:val="BodyText"/>
      </w:pPr>
      <w:r>
        <w:t xml:space="preserve">The descriptive results also revealed considerable individual variability.</w:t>
      </w:r>
      <w:r>
        <w:t xml:space="preserve"> </w:t>
      </w:r>
      <w:r>
        <w:t xml:space="preserve">Although the majority of participants showed the expected cognate advantage, the magnitude of facilitation differed substantially across individuals, and some participants even showed the reverse pattern.</w:t>
      </w:r>
      <w:r>
        <w:t xml:space="preserve"> </w:t>
      </w:r>
      <w:r>
        <w:t xml:space="preserve">Individual variability was particularly evident when contrasting the response times for triple and double cognates.</w:t>
      </w:r>
      <w:r>
        <w:t xml:space="preserve"> </w:t>
      </w:r>
      <w:r>
        <w:t xml:space="preserve">21 participants were faster with triple cognates, whereas 14 were faster with double cognates.</w:t>
      </w:r>
      <w:r>
        <w:t xml:space="preserve"> </w:t>
      </w:r>
      <w:r>
        <w:t xml:space="preserve">Such variability is consistent with the broader multilingual literature showing that cross-linguistic activation can depend on proficiency, immersion, language experience, and the relative status of the languages involved.</w:t>
      </w:r>
      <w:r>
        <w:t xml:space="preserve"> </w:t>
      </w:r>
      <w:r>
        <w:t xml:space="preserve">Poarch &amp; Hell (2014)</w:t>
      </w:r>
      <w:r>
        <w:t xml:space="preserve">, for example, found that multilingual cognate effects varied with proficiency and immersion experience, and</w:t>
      </w:r>
      <w:r>
        <w:t xml:space="preserve"> </w:t>
      </w:r>
      <w:r>
        <w:t xml:space="preserve">Covey &amp; Mikheeva (2023)</w:t>
      </w:r>
      <w:r>
        <w:t xml:space="preserve"> </w:t>
      </w:r>
      <w:r>
        <w:t xml:space="preserve">documented substantial proficiency-related variation in cognate effects.</w:t>
      </w:r>
      <w:r>
        <w:t xml:space="preserve"> </w:t>
      </w:r>
      <w:r>
        <w:t xml:space="preserve">Therefore, future research could examine whether other factors such as frequency of language use, language-switching experience, or immersion history may help explain why some individuals show stronger cumulative facilitation than others.</w:t>
      </w:r>
    </w:p>
    <w:p>
      <w:pPr>
        <w:pStyle w:val="BodyText"/>
      </w:pPr>
      <w:r>
        <w:t xml:space="preserve">Taken together, the present findings support a view of multilingual lexical processing characterized by robust cross-linguistic activation but not necessarily uniform additive facilitation across all processing measures.</w:t>
      </w:r>
      <w:r>
        <w:t xml:space="preserve"> </w:t>
      </w:r>
      <w:r>
        <w:t xml:space="preserve">Cross-linguistic overlap strongly facilitates lexical processing, but the cumulative contribution of multiple languages appears more evident in the accuracy of lexical identification than in the speed of successful recognition.</w:t>
      </w:r>
      <w:r>
        <w:t xml:space="preserve"> </w:t>
      </w:r>
      <w:r>
        <w:t xml:space="preserve">The results caution against drawing conclusions about additive benefits in multilingual lexical processing from a single dependent measure.</w:t>
      </w:r>
      <w:r>
        <w:t xml:space="preserve"> </w:t>
      </w:r>
      <w:r>
        <w:t xml:space="preserve">Studies reporting only latency or only accuracy may reach different conclusions about whether triple cognates receive an additional processing benefit.</w:t>
      </w:r>
    </w:p>
    <w:bookmarkEnd w:id="120"/>
    <w:bookmarkEnd w:id="121"/>
    <w:bookmarkStart w:id="122" w:name="conclusion"/>
    <w:p>
      <w:pPr>
        <w:pStyle w:val="Heading1"/>
      </w:pPr>
      <w:r>
        <w:t xml:space="preserve">Conclusion</w:t>
      </w:r>
    </w:p>
    <w:p>
      <w:pPr>
        <w:pStyle w:val="FirstParagraph"/>
      </w:pPr>
      <w:r>
        <w:t xml:space="preserve">The present study investigated how cross-linguistic similarity shapes lexical processing in L3 Spanish among German-English-Spanish trilinguals.</w:t>
      </w:r>
      <w:r>
        <w:t xml:space="preserve"> </w:t>
      </w:r>
      <w:r>
        <w:t xml:space="preserve">Specifically, it examined whether cognate facilitation accumulates across previously acquired languages by comparing double cognates, triple cognates, and noncognates.</w:t>
      </w:r>
      <w:r>
        <w:t xml:space="preserve"> </w:t>
      </w:r>
      <w:r>
        <w:t xml:space="preserve">Additionally, the study assessed the role of proficiency in L3 lexical processing.</w:t>
      </w:r>
      <w:r>
        <w:t xml:space="preserve"> </w:t>
      </w:r>
      <w:r>
        <w:t xml:space="preserve">The findings provided evidence that cross-linguistic similarity facilitates L3 lexical processing.</w:t>
      </w:r>
      <w:r>
        <w:t xml:space="preserve"> </w:t>
      </w:r>
      <w:r>
        <w:t xml:space="preserve">Importantly, cumulative benefits of overlap across multiple languages were not observed similarly across measures.</w:t>
      </w:r>
      <w:r>
        <w:t xml:space="preserve"> </w:t>
      </w:r>
      <w:r>
        <w:t xml:space="preserve">Double and triple cognates were processed more accurately and more quickly than noncognates, revealing robust cross-linguistic activation during L3 Spanish word recognition.</w:t>
      </w:r>
      <w:r>
        <w:t xml:space="preserve"> </w:t>
      </w:r>
      <w:r>
        <w:t xml:space="preserve">However, the additional cross-linguistic benefit associated with triple cognates emerged clearly in accuracy but not in response time, which highlights the importance of considering multiple dependent measures when evaluating cumulative cognate effects.</w:t>
      </w:r>
      <w:r>
        <w:t xml:space="preserve"> </w:t>
      </w:r>
      <w:r>
        <w:t xml:space="preserve">L3 proficiency was associated with greater overall accuracy but did not modulate cognate facilitation, while lexical frequency independently facilitated performance.</w:t>
      </w:r>
      <w:r>
        <w:t xml:space="preserve"> </w:t>
      </w:r>
      <w:r>
        <w:t xml:space="preserve">Together, these findings suggest that multilingual lexical processing reflects dynamic interactions among cross-linguistic similarity, lexical knowledge, and individual experience, and that additive effects across languages may be more apparent in the reliability of lexical identification than in the speed of successful access.</w:t>
      </w:r>
    </w:p>
    <w:p>
      <w:r>
        <w:br w:type="page"/>
      </w:r>
    </w:p>
    <w:bookmarkEnd w:id="122"/>
    <w:bookmarkStart w:id="124" w:name="X421aa8c25e75d5bda444d1508fbcc66cb0dedf6"/>
    <w:p>
      <w:pPr>
        <w:pStyle w:val="Heading1"/>
      </w:pPr>
      <w:r>
        <w:t xml:space="preserve">Appendix A: Stimulus List of the Lexical Decision Task</w:t>
      </w:r>
    </w:p>
    <w:p>
      <w:pPr>
        <w:pStyle w:val="TableCaption"/>
      </w:pPr>
      <w:bookmarkStart w:id="123" w:name="tab:stim-table-appendix"/>
      <w:bookmarkEnd w:id="123"/>
      <w:r>
        <w:t xml:space="preserve">Table 4: Stimulus List</w:t>
      </w:r>
    </w:p>
    <w:tbl>
      <w:tblPr>
        <w:tblStyle w:val="Table"/>
        <w:tblW w:type="auto" w:w="0"/>
        <w:tblLook w:firstRow="1" w:lastRow="0" w:firstColumn="0" w:lastColumn="0" w:noHBand="0" w:noVBand="0" w:val="0020"/>
        <w:tblCaption w:val="Table 4: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124"/>
    <w:bookmarkStart w:id="241" w:name="references"/>
    <w:p>
      <w:pPr>
        <w:pStyle w:val="Heading1"/>
      </w:pPr>
      <w:r>
        <w:t xml:space="preserve">References</w:t>
      </w:r>
    </w:p>
    <w:bookmarkStart w:id="240" w:name="refs"/>
    <w:bookmarkStart w:id="126"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125">
        <w:r>
          <w:rPr>
            <w:rStyle w:val="Hyperlink"/>
          </w:rPr>
          <w:t xml:space="preserve">https://matrix.aesla.org.es/RAEL/article/view/313</w:t>
        </w:r>
      </w:hyperlink>
    </w:p>
    <w:bookmarkEnd w:id="126"/>
    <w:bookmarkStart w:id="128"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127">
        <w:r>
          <w:rPr>
            <w:rStyle w:val="Hyperlink"/>
          </w:rPr>
          <w:t xml:space="preserve">10.1017/S1366728911000460</w:t>
        </w:r>
      </w:hyperlink>
    </w:p>
    <w:bookmarkEnd w:id="128"/>
    <w:bookmarkStart w:id="130"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129">
        <w:r>
          <w:rPr>
            <w:rStyle w:val="Hyperlink"/>
          </w:rPr>
          <w:t xml:space="preserve">10.1017/S1366728922000062</w:t>
        </w:r>
      </w:hyperlink>
    </w:p>
    <w:bookmarkEnd w:id="130"/>
    <w:bookmarkStart w:id="132"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131">
        <w:r>
          <w:rPr>
            <w:rStyle w:val="Hyperlink"/>
          </w:rPr>
          <w:t xml:space="preserve">10.1177/0267658307080557</w:t>
        </w:r>
      </w:hyperlink>
    </w:p>
    <w:bookmarkEnd w:id="132"/>
    <w:bookmarkStart w:id="134"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133">
        <w:r>
          <w:rPr>
            <w:rStyle w:val="Hyperlink"/>
          </w:rPr>
          <w:t xml:space="preserve">10.1075/sibil.46.06bar</w:t>
        </w:r>
      </w:hyperlink>
    </w:p>
    <w:bookmarkEnd w:id="134"/>
    <w:bookmarkStart w:id="136"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135">
        <w:r>
          <w:rPr>
            <w:rStyle w:val="Hyperlink"/>
          </w:rPr>
          <w:t xml:space="preserve">10.1111/lang.12200</w:t>
        </w:r>
      </w:hyperlink>
    </w:p>
    <w:bookmarkEnd w:id="136"/>
    <w:bookmarkStart w:id="137" w:name="ref-borg2013acquisition"/>
    <w:p>
      <w:pPr>
        <w:pStyle w:val="Bibliography"/>
      </w:pPr>
      <w:r>
        <w:t xml:space="preserve">Borg, K. (2013). The acquisition of future of probability in L3 spanish. In</w:t>
      </w:r>
      <w:r>
        <w:t xml:space="preserve"> </w:t>
      </w:r>
      <w:r>
        <w:rPr>
          <w:i/>
          <w:iCs/>
        </w:rPr>
        <w:t xml:space="preserve">Proceedings of the 12th generative approaches to second language acquisition conference</w:t>
      </w:r>
      <w:r>
        <w:t xml:space="preserve"> </w:t>
      </w:r>
      <w:r>
        <w:t xml:space="preserve">(pp. 11–21). Cascadilla Proceedings Project Somerville, MA.</w:t>
      </w:r>
    </w:p>
    <w:bookmarkEnd w:id="137"/>
    <w:bookmarkStart w:id="138"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38"/>
    <w:bookmarkStart w:id="139" w:name="ref-cabrelli2015relationship"/>
    <w:p>
      <w:pPr>
        <w:pStyle w:val="Bibliography"/>
      </w:pPr>
      <w:r>
        <w:t xml:space="preserve">Cabrelli, J., Amaro, J. F., &amp; Rothman, J. (2015). The relationship between L3 transfer and structural similarity across development: Raising across an experiencer in brazilian portuguese. In</w:t>
      </w:r>
      <w:r>
        <w:t xml:space="preserve"> </w:t>
      </w:r>
      <w:r>
        <w:rPr>
          <w:i/>
          <w:iCs/>
        </w:rPr>
        <w:t xml:space="preserve">Transfer effects in multilingual language development</w:t>
      </w:r>
      <w:r>
        <w:t xml:space="preserve"> </w:t>
      </w:r>
      <w:r>
        <w:t xml:space="preserve">(pp. 21–52). John Benjamins.</w:t>
      </w:r>
    </w:p>
    <w:bookmarkEnd w:id="139"/>
    <w:bookmarkStart w:id="141"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140">
        <w:r>
          <w:rPr>
            <w:rStyle w:val="Hyperlink"/>
          </w:rPr>
          <w:t xml:space="preserve">10.1075/lab.18095.car</w:t>
        </w:r>
      </w:hyperlink>
    </w:p>
    <w:bookmarkEnd w:id="141"/>
    <w:bookmarkStart w:id="143"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142">
        <w:r>
          <w:rPr>
            <w:rStyle w:val="Hyperlink"/>
          </w:rPr>
          <w:t xml:space="preserve">10.1037/xlm0000065</w:t>
        </w:r>
      </w:hyperlink>
    </w:p>
    <w:bookmarkEnd w:id="143"/>
    <w:bookmarkStart w:id="145"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144">
        <w:r>
          <w:rPr>
            <w:rStyle w:val="Hyperlink"/>
          </w:rPr>
          <w:t xml:space="preserve">10.1371/journal.pone.0134008</w:t>
        </w:r>
      </w:hyperlink>
    </w:p>
    <w:bookmarkEnd w:id="145"/>
    <w:bookmarkStart w:id="147"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146">
        <w:r>
          <w:rPr>
            <w:rStyle w:val="Hyperlink"/>
          </w:rPr>
          <w:t xml:space="preserve">10.1017/S1366728921000511</w:t>
        </w:r>
      </w:hyperlink>
    </w:p>
    <w:bookmarkEnd w:id="147"/>
    <w:bookmarkStart w:id="149"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148">
        <w:r>
          <w:rPr>
            <w:rStyle w:val="Hyperlink"/>
          </w:rPr>
          <w:t xml:space="preserve">10.3758/s13428-022-01985-3</w:t>
        </w:r>
      </w:hyperlink>
    </w:p>
    <w:bookmarkEnd w:id="149"/>
    <w:bookmarkStart w:id="150"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150"/>
    <w:bookmarkStart w:id="151" w:name="ref-covey_mikheeva_2023"/>
    <w:p>
      <w:pPr>
        <w:pStyle w:val="Bibliography"/>
      </w:pPr>
      <w:r>
        <w:t xml:space="preserve">Covey, L., &amp; Mikheeva, A. (2023). Cognate effects during speech production in russian-english-german trilinguals. In P. Gappmayr &amp; J. Kellogg (Eds.),</w:t>
      </w:r>
      <w:r>
        <w:t xml:space="preserve"> </w:t>
      </w:r>
      <w:r>
        <w:rPr>
          <w:i/>
          <w:iCs/>
        </w:rPr>
        <w:t xml:space="preserve">Proceedings of the 47th annual boston university conference on language development</w:t>
      </w:r>
      <w:r>
        <w:t xml:space="preserve"> </w:t>
      </w:r>
      <w:r>
        <w:t xml:space="preserve">(pp. 187–199). Cascadilla Press.</w:t>
      </w:r>
    </w:p>
    <w:bookmarkEnd w:id="151"/>
    <w:bookmarkStart w:id="152"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152"/>
    <w:bookmarkStart w:id="154"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153">
        <w:r>
          <w:rPr>
            <w:rStyle w:val="Hyperlink"/>
          </w:rPr>
          <w:t xml:space="preserve">10.2307/jj.27710839</w:t>
        </w:r>
      </w:hyperlink>
    </w:p>
    <w:bookmarkEnd w:id="154"/>
    <w:bookmarkStart w:id="156"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155">
        <w:r>
          <w:rPr>
            <w:rStyle w:val="Hyperlink"/>
          </w:rPr>
          <w:t xml:space="preserve">10.1016/j.jml.2009.12.003</w:t>
        </w:r>
      </w:hyperlink>
    </w:p>
    <w:bookmarkEnd w:id="156"/>
    <w:bookmarkStart w:id="158"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157">
        <w:r>
          <w:rPr>
            <w:rStyle w:val="Hyperlink"/>
          </w:rPr>
          <w:t xml:space="preserve">10.1017/S1366728902003012</w:t>
        </w:r>
      </w:hyperlink>
    </w:p>
    <w:bookmarkEnd w:id="158"/>
    <w:bookmarkStart w:id="159"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159"/>
    <w:bookmarkStart w:id="161"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160">
        <w:r>
          <w:rPr>
            <w:rStyle w:val="Hyperlink"/>
          </w:rPr>
          <w:t xml:space="preserve">10.1017/S1366728913000722</w:t>
        </w:r>
      </w:hyperlink>
    </w:p>
    <w:bookmarkEnd w:id="161"/>
    <w:bookmarkStart w:id="163"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162">
        <w:r>
          <w:rPr>
            <w:rStyle w:val="Hyperlink"/>
          </w:rPr>
          <w:t xml:space="preserve">10.1080/14640749308401062</w:t>
        </w:r>
      </w:hyperlink>
    </w:p>
    <w:bookmarkEnd w:id="163"/>
    <w:bookmarkStart w:id="165"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164">
        <w:r>
          <w:rPr>
            <w:rStyle w:val="Hyperlink"/>
          </w:rPr>
          <w:t xml:space="preserve">10.3390/languages9100310</w:t>
        </w:r>
      </w:hyperlink>
    </w:p>
    <w:bookmarkEnd w:id="165"/>
    <w:bookmarkStart w:id="166" w:name="ref-foote2009transfer"/>
    <w:p>
      <w:pPr>
        <w:pStyle w:val="Bibliography"/>
      </w:pPr>
      <w:r>
        <w:t xml:space="preserve">Foote, R. (2009). Transfer in L3 acquisition: The role of typology.</w:t>
      </w:r>
      <w:r>
        <w:t xml:space="preserve"> </w:t>
      </w:r>
      <w:r>
        <w:rPr>
          <w:i/>
          <w:iCs/>
        </w:rPr>
        <w:t xml:space="preserve">Third Language Acquisition and Universal Grammar</w:t>
      </w:r>
      <w:r>
        <w:t xml:space="preserve">,</w:t>
      </w:r>
      <w:r>
        <w:t xml:space="preserve"> </w:t>
      </w:r>
      <w:r>
        <w:rPr>
          <w:i/>
          <w:iCs/>
        </w:rPr>
        <w:t xml:space="preserve">37</w:t>
      </w:r>
      <w:r>
        <w:t xml:space="preserve">, 89.</w:t>
      </w:r>
    </w:p>
    <w:bookmarkEnd w:id="166"/>
    <w:bookmarkStart w:id="168"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167">
        <w:r>
          <w:rPr>
            <w:rStyle w:val="Hyperlink"/>
          </w:rPr>
          <w:t xml:space="preserve">10.1017/S1366728925000410</w:t>
        </w:r>
      </w:hyperlink>
    </w:p>
    <w:bookmarkEnd w:id="168"/>
    <w:bookmarkStart w:id="170"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169">
        <w:r>
          <w:rPr>
            <w:rStyle w:val="Hyperlink"/>
          </w:rPr>
          <w:t xml:space="preserve">10.1038/s41598-021-92259-z</w:t>
        </w:r>
      </w:hyperlink>
    </w:p>
    <w:bookmarkEnd w:id="170"/>
    <w:bookmarkStart w:id="172"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171">
        <w:r>
          <w:rPr>
            <w:rStyle w:val="Hyperlink"/>
          </w:rPr>
          <w:t xml:space="preserve">10.3389/fpsyg.2022.892822</w:t>
        </w:r>
      </w:hyperlink>
    </w:p>
    <w:bookmarkEnd w:id="172"/>
    <w:bookmarkStart w:id="173" w:name="ref-de2014subject"/>
    <w:p>
      <w:pPr>
        <w:pStyle w:val="Bibliography"/>
      </w:pPr>
      <w:r>
        <w:t xml:space="preserve">Garavito, J. B. de, &amp; Perpiñán, S. (2014). Subject pronouns and clitics in the spanish interlanguage of french L1 speakers. In</w:t>
      </w:r>
      <w:r>
        <w:t xml:space="preserve"> </w:t>
      </w:r>
      <w:r>
        <w:rPr>
          <w:i/>
          <w:iCs/>
        </w:rPr>
        <w:t xml:space="preserve">Canadian linguistic association conference proceedings</w:t>
      </w:r>
      <w:r>
        <w:t xml:space="preserve">.</w:t>
      </w:r>
    </w:p>
    <w:bookmarkEnd w:id="173"/>
    <w:bookmarkStart w:id="174" w:name="ref-garcia2015object"/>
    <w:p>
      <w:pPr>
        <w:pStyle w:val="Bibliography"/>
      </w:pPr>
      <w:r>
        <w:t xml:space="preserve">Garcı́a Mayo, M. del P., &amp; Slabakova, R. (2015). Object drop in L3 acquisition.</w:t>
      </w:r>
      <w:r>
        <w:t xml:space="preserve"> </w:t>
      </w:r>
      <w:r>
        <w:rPr>
          <w:i/>
          <w:iCs/>
        </w:rPr>
        <w:t xml:space="preserve">International Journal of Bilingualism</w:t>
      </w:r>
      <w:r>
        <w:t xml:space="preserve">,</w:t>
      </w:r>
      <w:r>
        <w:t xml:space="preserve"> </w:t>
      </w:r>
      <w:r>
        <w:rPr>
          <w:i/>
          <w:iCs/>
        </w:rPr>
        <w:t xml:space="preserve">19</w:t>
      </w:r>
      <w:r>
        <w:t xml:space="preserve">(5), 483–498.</w:t>
      </w:r>
    </w:p>
    <w:bookmarkEnd w:id="174"/>
    <w:bookmarkStart w:id="176"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175">
        <w:r>
          <w:rPr>
            <w:rStyle w:val="Hyperlink"/>
          </w:rPr>
          <w:t xml:space="preserve">10.1017/S1366728924000270</w:t>
        </w:r>
      </w:hyperlink>
    </w:p>
    <w:bookmarkEnd w:id="176"/>
    <w:bookmarkStart w:id="177" w:name="ref-giancaspro2015transfer"/>
    <w:p>
      <w:pPr>
        <w:pStyle w:val="Bibliography"/>
      </w:pPr>
      <w:r>
        <w:t xml:space="preserve">Giancaspro, D., Halloran, B., &amp; Iverson, M. (2015). Transfer at the initial stages of L3 brazilian portuguese: A look at three groups of english/spanish bilinguals.</w:t>
      </w:r>
      <w:r>
        <w:t xml:space="preserve"> </w:t>
      </w:r>
      <w:r>
        <w:rPr>
          <w:i/>
          <w:iCs/>
        </w:rPr>
        <w:t xml:space="preserve">Bilingualism: Language and Cognition</w:t>
      </w:r>
      <w:r>
        <w:t xml:space="preserve">,</w:t>
      </w:r>
      <w:r>
        <w:t xml:space="preserve"> </w:t>
      </w:r>
      <w:r>
        <w:rPr>
          <w:i/>
          <w:iCs/>
        </w:rPr>
        <w:t xml:space="preserve">18</w:t>
      </w:r>
      <w:r>
        <w:t xml:space="preserve">(2), 191–207.</w:t>
      </w:r>
    </w:p>
    <w:bookmarkEnd w:id="177"/>
    <w:bookmarkStart w:id="179"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178">
        <w:r>
          <w:rPr>
            <w:rStyle w:val="Hyperlink"/>
          </w:rPr>
          <w:t xml:space="preserve">10.1016/j.actpsy.2008.03.010</w:t>
        </w:r>
      </w:hyperlink>
    </w:p>
    <w:bookmarkEnd w:id="179"/>
    <w:bookmarkStart w:id="180" w:name="ref-hermas2010language"/>
    <w:p>
      <w:pPr>
        <w:pStyle w:val="Bibliography"/>
      </w:pPr>
      <w:r>
        <w:t xml:space="preserve">Hermas, A. (2010). Language acquisition as computational resetting: Verb movement in L3 initial state.</w:t>
      </w:r>
      <w:r>
        <w:t xml:space="preserve"> </w:t>
      </w:r>
      <w:r>
        <w:rPr>
          <w:i/>
          <w:iCs/>
        </w:rPr>
        <w:t xml:space="preserve">International Journal of Multilingualism</w:t>
      </w:r>
      <w:r>
        <w:t xml:space="preserve">,</w:t>
      </w:r>
      <w:r>
        <w:t xml:space="preserve"> </w:t>
      </w:r>
      <w:r>
        <w:rPr>
          <w:i/>
          <w:iCs/>
        </w:rPr>
        <w:t xml:space="preserve">7</w:t>
      </w:r>
      <w:r>
        <w:t xml:space="preserve">(4), 343–362.</w:t>
      </w:r>
    </w:p>
    <w:bookmarkEnd w:id="180"/>
    <w:bookmarkStart w:id="181" w:name="ref-ionin2015interpretation"/>
    <w:p>
      <w:pPr>
        <w:pStyle w:val="Bibliography"/>
      </w:pPr>
      <w:r>
        <w:t xml:space="preserve">Ionin, T., Grolla, E., Santos, H., &amp; Montrul, S. A. (2015). Interpretation of NPs in generic and existential contexts in L3 brazilian portuguese.</w:t>
      </w:r>
      <w:r>
        <w:t xml:space="preserve"> </w:t>
      </w:r>
      <w:r>
        <w:rPr>
          <w:i/>
          <w:iCs/>
        </w:rPr>
        <w:t xml:space="preserve">Linguistic Approaches to Bilingualism</w:t>
      </w:r>
      <w:r>
        <w:t xml:space="preserve">,</w:t>
      </w:r>
      <w:r>
        <w:t xml:space="preserve"> </w:t>
      </w:r>
      <w:r>
        <w:rPr>
          <w:i/>
          <w:iCs/>
        </w:rPr>
        <w:t xml:space="preserve">5</w:t>
      </w:r>
      <w:r>
        <w:t xml:space="preserve">(2), 215–251.</w:t>
      </w:r>
    </w:p>
    <w:bookmarkEnd w:id="181"/>
    <w:bookmarkStart w:id="182"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182"/>
    <w:bookmarkStart w:id="183" w:name="ref-jensen2023crosslinguistic"/>
    <w:p>
      <w:pPr>
        <w:pStyle w:val="Bibliography"/>
      </w:pPr>
      <w:r>
        <w:t xml:space="preserve">Jensen, I. N., Mitrofanova, N., Anderssen, M., Rodina, Y., Slabakova, R., &amp; Westergaard, M. (2023). Crosslinguistic influence in L3 acquisition across linguistic modules.</w:t>
      </w:r>
      <w:r>
        <w:t xml:space="preserve"> </w:t>
      </w:r>
      <w:r>
        <w:rPr>
          <w:i/>
          <w:iCs/>
        </w:rPr>
        <w:t xml:space="preserve">International Journal of Multilingualism</w:t>
      </w:r>
      <w:r>
        <w:t xml:space="preserve">,</w:t>
      </w:r>
      <w:r>
        <w:t xml:space="preserve"> </w:t>
      </w:r>
      <w:r>
        <w:rPr>
          <w:i/>
          <w:iCs/>
        </w:rPr>
        <w:t xml:space="preserve">20</w:t>
      </w:r>
      <w:r>
        <w:t xml:space="preserve">(3), 717–734.</w:t>
      </w:r>
    </w:p>
    <w:bookmarkEnd w:id="183"/>
    <w:bookmarkStart w:id="185" w:name="ref-koutamanis_etal_2024"/>
    <w:p>
      <w:pPr>
        <w:pStyle w:val="Bibliography"/>
      </w:pPr>
      <w:r>
        <w:t xml:space="preserve">Koutamanis, E., Kootstra, G. J., Dijkstra, T., &amp; Unsworth, S. (2024). Shared representations in cognate comprehension and production:</w:t>
      </w:r>
      <w:r>
        <w:t xml:space="preserve"> </w:t>
      </w:r>
      <w:r>
        <w:t xml:space="preserve">An</w:t>
      </w:r>
      <w:r>
        <w:t xml:space="preserve"> </w:t>
      </w:r>
      <w:r>
        <w:t xml:space="preserve">online picture naming and lexical decision study with bilingual children.</w:t>
      </w:r>
      <w:r>
        <w:t xml:space="preserve"> </w:t>
      </w:r>
      <w:r>
        <w:rPr>
          <w:i/>
          <w:iCs/>
        </w:rPr>
        <w:t xml:space="preserve">Applied Psycholinguistics</w:t>
      </w:r>
      <w:r>
        <w:t xml:space="preserve">,</w:t>
      </w:r>
      <w:r>
        <w:t xml:space="preserve"> </w:t>
      </w:r>
      <w:r>
        <w:rPr>
          <w:i/>
          <w:iCs/>
        </w:rPr>
        <w:t xml:space="preserve">45</w:t>
      </w:r>
      <w:r>
        <w:t xml:space="preserve">(3), 489–515. http://doi.org/</w:t>
      </w:r>
      <w:hyperlink r:id="rId184">
        <w:r>
          <w:rPr>
            <w:rStyle w:val="Hyperlink"/>
          </w:rPr>
          <w:t xml:space="preserve">10.1017/S0142716424000158</w:t>
        </w:r>
      </w:hyperlink>
    </w:p>
    <w:bookmarkEnd w:id="185"/>
    <w:bookmarkStart w:id="186" w:name="ref-kruschke2018rejecting"/>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p>
    <w:bookmarkEnd w:id="186"/>
    <w:bookmarkStart w:id="188"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187">
        <w:r>
          <w:rPr>
            <w:rStyle w:val="Hyperlink"/>
          </w:rPr>
          <w:t xml:space="preserve">10.3758/s13428-011-0146-0</w:t>
        </w:r>
      </w:hyperlink>
    </w:p>
    <w:bookmarkEnd w:id="188"/>
    <w:bookmarkStart w:id="190"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189">
        <w:r>
          <w:rPr>
            <w:rStyle w:val="Hyperlink"/>
          </w:rPr>
          <w:t xml:space="preserve">10.1080/01690960444000007</w:t>
        </w:r>
      </w:hyperlink>
    </w:p>
    <w:bookmarkEnd w:id="190"/>
    <w:bookmarkStart w:id="192"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191">
        <w:r>
          <w:rPr>
            <w:rStyle w:val="Hyperlink"/>
          </w:rPr>
          <w:t xml:space="preserve">10.1177/02676583221128525</w:t>
        </w:r>
      </w:hyperlink>
    </w:p>
    <w:bookmarkEnd w:id="192"/>
    <w:bookmarkStart w:id="194"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193">
        <w:r>
          <w:rPr>
            <w:rStyle w:val="Hyperlink"/>
          </w:rPr>
          <w:t xml:space="preserve">https://doi.org/10.1075/lab.21016.lij</w:t>
        </w:r>
      </w:hyperlink>
    </w:p>
    <w:bookmarkEnd w:id="194"/>
    <w:bookmarkStart w:id="196"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195">
        <w:r>
          <w:rPr>
            <w:rStyle w:val="Hyperlink"/>
          </w:rPr>
          <w:t xml:space="preserve">10.1111/1467-9922.00032</w:t>
        </w:r>
      </w:hyperlink>
    </w:p>
    <w:bookmarkEnd w:id="196"/>
    <w:bookmarkStart w:id="197" w:name="ref-makowski2019indices"/>
    <w:p>
      <w:pPr>
        <w:pStyle w:val="Bibliography"/>
      </w:pPr>
      <w:r>
        <w:t xml:space="preserve">Makowski, D., Ben-Shachar, M. S., Chen, S.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 2767.</w:t>
      </w:r>
    </w:p>
    <w:bookmarkEnd w:id="197"/>
    <w:bookmarkStart w:id="198" w:name="ref-marian2007language"/>
    <w:p>
      <w:pPr>
        <w:pStyle w:val="Bibliography"/>
      </w:pPr>
      <w:r>
        <w:t xml:space="preserve">Marian, V., Blumenfeld, H. K., &amp; Kaushanskaya, M. (2007). The language experience and proficiency questionnaire (LEAP-q): Assessing language profiles in bilinguals and multilinguals.</w:t>
      </w:r>
      <w:r>
        <w:t xml:space="preserve"> </w:t>
      </w:r>
      <w:r>
        <w:rPr>
          <w:i/>
          <w:iCs/>
        </w:rPr>
        <w:t xml:space="preserve">Language</w:t>
      </w:r>
      <w:r>
        <w:t xml:space="preserve">.</w:t>
      </w:r>
    </w:p>
    <w:bookmarkEnd w:id="198"/>
    <w:bookmarkStart w:id="199" w:name="ref-mitrofanova2023crosslinguistic"/>
    <w:p>
      <w:pPr>
        <w:pStyle w:val="Bibliography"/>
      </w:pPr>
      <w:r>
        <w:t xml:space="preserve">Mitrofanova, N., Leivada, E., &amp; Westergaard, M. (2023). Crosslinguistic influence in L3 acquisition: Evidence from artificial language learning.</w:t>
      </w:r>
      <w:r>
        <w:t xml:space="preserve"> </w:t>
      </w:r>
      <w:r>
        <w:rPr>
          <w:i/>
          <w:iCs/>
        </w:rPr>
        <w:t xml:space="preserve">Linguistic Approaches to Bilingualism</w:t>
      </w:r>
      <w:r>
        <w:t xml:space="preserve">,</w:t>
      </w:r>
      <w:r>
        <w:t xml:space="preserve"> </w:t>
      </w:r>
      <w:r>
        <w:rPr>
          <w:i/>
          <w:iCs/>
        </w:rPr>
        <w:t xml:space="preserve">13</w:t>
      </w:r>
      <w:r>
        <w:t xml:space="preserve">(5), 717–742.</w:t>
      </w:r>
    </w:p>
    <w:bookmarkEnd w:id="199"/>
    <w:bookmarkStart w:id="201" w:name="ref-MontrulDiasSantos2011"/>
    <w:p>
      <w:pPr>
        <w:pStyle w:val="Bibliography"/>
      </w:pPr>
      <w:r>
        <w:t xml:space="preserve">Montrul, S., Dias, R., &amp; Santos, H. (2011). Clitics and object expression in the L3 acquisition of brazilian portuguese: Structural similarity matters for transfer.</w:t>
      </w:r>
      <w:r>
        <w:t xml:space="preserve"> </w:t>
      </w:r>
      <w:r>
        <w:rPr>
          <w:i/>
          <w:iCs/>
        </w:rPr>
        <w:t xml:space="preserve">Second Language Research</w:t>
      </w:r>
      <w:r>
        <w:t xml:space="preserve">,</w:t>
      </w:r>
      <w:r>
        <w:t xml:space="preserve"> </w:t>
      </w:r>
      <w:r>
        <w:rPr>
          <w:i/>
          <w:iCs/>
        </w:rPr>
        <w:t xml:space="preserve">27</w:t>
      </w:r>
      <w:r>
        <w:t xml:space="preserve">(1), 21–58. http://doi.org/</w:t>
      </w:r>
      <w:hyperlink r:id="rId200">
        <w:r>
          <w:rPr>
            <w:rStyle w:val="Hyperlink"/>
          </w:rPr>
          <w:t xml:space="preserve">10.1177/0267658310386649</w:t>
        </w:r>
      </w:hyperlink>
    </w:p>
    <w:bookmarkEnd w:id="201"/>
    <w:bookmarkStart w:id="203"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202">
        <w:r>
          <w:rPr>
            <w:rStyle w:val="Hyperlink"/>
          </w:rPr>
          <w:t xml:space="preserve">10.1017/S1366728922000037</w:t>
        </w:r>
      </w:hyperlink>
    </w:p>
    <w:bookmarkEnd w:id="203"/>
    <w:bookmarkStart w:id="205"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204">
        <w:r>
          <w:rPr>
            <w:rStyle w:val="Hyperlink"/>
          </w:rPr>
          <w:t xml:space="preserve">10.1177/17470218231164373</w:t>
        </w:r>
      </w:hyperlink>
    </w:p>
    <w:bookmarkEnd w:id="205"/>
    <w:bookmarkStart w:id="207"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206">
        <w:r>
          <w:rPr>
            <w:rStyle w:val="Hyperlink"/>
          </w:rPr>
          <w:t xml:space="preserve">10.1080/13670050.2017.1325834</w:t>
        </w:r>
      </w:hyperlink>
    </w:p>
    <w:bookmarkEnd w:id="207"/>
    <w:bookmarkStart w:id="208" w:name="ref-parma2017cross"/>
    <w:p>
      <w:pPr>
        <w:pStyle w:val="Bibliography"/>
      </w:pPr>
      <w:r>
        <w:t xml:space="preserve">Parma, A. (2017). Cross-linguistic transfer of object clitic structure: A case of L3 brazilian portuguese.</w:t>
      </w:r>
      <w:r>
        <w:t xml:space="preserve"> </w:t>
      </w:r>
      <w:r>
        <w:rPr>
          <w:i/>
          <w:iCs/>
        </w:rPr>
        <w:t xml:space="preserve">Languages</w:t>
      </w:r>
      <w:r>
        <w:t xml:space="preserve">,</w:t>
      </w:r>
      <w:r>
        <w:t xml:space="preserve"> </w:t>
      </w:r>
      <w:r>
        <w:rPr>
          <w:i/>
          <w:iCs/>
        </w:rPr>
        <w:t xml:space="preserve">2</w:t>
      </w:r>
      <w:r>
        <w:t xml:space="preserve">(3), 14.</w:t>
      </w:r>
    </w:p>
    <w:bookmarkEnd w:id="208"/>
    <w:bookmarkStart w:id="209" w:name="ref-parrish2024statistical"/>
    <w:p>
      <w:pPr>
        <w:pStyle w:val="Bibliography"/>
      </w:pPr>
      <w:r>
        <w:t xml:space="preserve">Parrish, K. (2024a). Statistical insignificance is not wholesale transfer in L3 acquisition: An approximate replication of rothman (2011).</w:t>
      </w:r>
      <w:r>
        <w:t xml:space="preserve"> </w:t>
      </w:r>
      <w:r>
        <w:rPr>
          <w:i/>
          <w:iCs/>
        </w:rPr>
        <w:t xml:space="preserve">Studies in Second Language Acquisition</w:t>
      </w:r>
      <w:r>
        <w:t xml:space="preserve">,</w:t>
      </w:r>
      <w:r>
        <w:t xml:space="preserve"> </w:t>
      </w:r>
      <w:r>
        <w:rPr>
          <w:i/>
          <w:iCs/>
        </w:rPr>
        <w:t xml:space="preserve">46</w:t>
      </w:r>
      <w:r>
        <w:t xml:space="preserve">(5), 1439–1456.</w:t>
      </w:r>
    </w:p>
    <w:bookmarkEnd w:id="209"/>
    <w:bookmarkStart w:id="210" w:name="ref-parrish2024production"/>
    <w:p>
      <w:pPr>
        <w:pStyle w:val="Bibliography"/>
      </w:pPr>
      <w:r>
        <w:t xml:space="preserve">Parrish, K. (2024b). The production of L3 stop-initial words by spanish/english bilinguals.</w:t>
      </w:r>
      <w:r>
        <w:t xml:space="preserve"> </w:t>
      </w:r>
      <w:r>
        <w:rPr>
          <w:i/>
          <w:iCs/>
        </w:rPr>
        <w:t xml:space="preserve">International Journal of Multilingualism</w:t>
      </w:r>
      <w:r>
        <w:t xml:space="preserve">,</w:t>
      </w:r>
      <w:r>
        <w:t xml:space="preserve"> </w:t>
      </w:r>
      <w:r>
        <w:rPr>
          <w:i/>
          <w:iCs/>
        </w:rPr>
        <w:t xml:space="preserve">21</w:t>
      </w:r>
      <w:r>
        <w:t xml:space="preserve">(1), 131–148.</w:t>
      </w:r>
    </w:p>
    <w:bookmarkEnd w:id="210"/>
    <w:bookmarkStart w:id="212"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211">
        <w:r>
          <w:rPr>
            <w:rStyle w:val="Hyperlink"/>
          </w:rPr>
          <w:t xml:space="preserve">10.1016/j.jml.2012.12.003</w:t>
        </w:r>
      </w:hyperlink>
    </w:p>
    <w:bookmarkEnd w:id="212"/>
    <w:bookmarkStart w:id="214"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213">
        <w:r>
          <w:rPr>
            <w:rStyle w:val="Hyperlink"/>
          </w:rPr>
          <w:t xml:space="preserve">10.3758/s13428-018-01193-y</w:t>
        </w:r>
      </w:hyperlink>
    </w:p>
    <w:bookmarkEnd w:id="214"/>
    <w:bookmarkStart w:id="215" w:name="ref-plonsky2014big"/>
    <w:p>
      <w:pPr>
        <w:pStyle w:val="Bibliography"/>
      </w:pPr>
      <w:r>
        <w:t xml:space="preserve">Plonsky, L., &amp; Oswald, F. L. (2014). How big is</w:t>
      </w:r>
      <w:r>
        <w:t xml:space="preserve"> </w:t>
      </w:r>
      <w:r>
        <w:t xml:space="preserve">“big”</w:t>
      </w:r>
      <w:r>
        <w:t xml:space="preserve">? Interpreting effect sizes in L2 research.</w:t>
      </w:r>
      <w:r>
        <w:t xml:space="preserve"> </w:t>
      </w:r>
      <w:r>
        <w:rPr>
          <w:i/>
          <w:iCs/>
        </w:rPr>
        <w:t xml:space="preserve">Language Learning</w:t>
      </w:r>
      <w:r>
        <w:t xml:space="preserve">,</w:t>
      </w:r>
      <w:r>
        <w:t xml:space="preserve"> </w:t>
      </w:r>
      <w:r>
        <w:rPr>
          <w:i/>
          <w:iCs/>
        </w:rPr>
        <w:t xml:space="preserve">64</w:t>
      </w:r>
      <w:r>
        <w:t xml:space="preserve">(4), 878–912.</w:t>
      </w:r>
    </w:p>
    <w:bookmarkEnd w:id="215"/>
    <w:bookmarkStart w:id="217"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216">
        <w:r>
          <w:rPr>
            <w:rStyle w:val="Hyperlink"/>
          </w:rPr>
          <w:t xml:space="preserve">10.1177/1367006912472262</w:t>
        </w:r>
      </w:hyperlink>
    </w:p>
    <w:bookmarkEnd w:id="217"/>
    <w:bookmarkStart w:id="219"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218">
        <w:r>
          <w:rPr>
            <w:rStyle w:val="Hyperlink"/>
          </w:rPr>
          <w:t xml:space="preserve">10.1016/j.actpsy.2017.08.008</w:t>
        </w:r>
      </w:hyperlink>
    </w:p>
    <w:bookmarkEnd w:id="219"/>
    <w:bookmarkStart w:id="221" w:name="ref-puig-mayenco_etal_2020"/>
    <w:p>
      <w:pPr>
        <w:pStyle w:val="Bibliography"/>
      </w:pPr>
      <w:r>
        <w:t xml:space="preserve">Puig-Mayenco, E., González Alonso, J., &amp; Rothman, J. (2020b).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220">
        <w:r>
          <w:rPr>
            <w:rStyle w:val="Hyperlink"/>
          </w:rPr>
          <w:t xml:space="preserve">10.1177/0267658318809147</w:t>
        </w:r>
      </w:hyperlink>
    </w:p>
    <w:bookmarkEnd w:id="221"/>
    <w:bookmarkStart w:id="222" w:name="ref-puig2020systematic"/>
    <w:p>
      <w:pPr>
        <w:pStyle w:val="Bibliography"/>
      </w:pPr>
      <w:r>
        <w:t xml:space="preserve">Puig-Mayenco, E., González Alonso, J., &amp; Rothman, J. (2020a).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w:t>
      </w:r>
    </w:p>
    <w:bookmarkEnd w:id="222"/>
    <w:bookmarkStart w:id="223" w:name="ref-puig2018language"/>
    <w:p>
      <w:pPr>
        <w:pStyle w:val="Bibliography"/>
      </w:pPr>
      <w:r>
        <w:t xml:space="preserve">Puig-Mayenco, E., Miller, D., &amp; Rothman, J. (2018). Language dominance and transfer selection in L3 acquisition.</w:t>
      </w:r>
      <w:r>
        <w:t xml:space="preserve"> </w:t>
      </w:r>
      <w:r>
        <w:rPr>
          <w:i/>
          <w:iCs/>
        </w:rPr>
        <w:t xml:space="preserve">Meaning and Structure in Second Language Acquisition. Studies in Bilingualism (55)</w:t>
      </w:r>
      <w:r>
        <w:t xml:space="preserve">, 229–260.</w:t>
      </w:r>
    </w:p>
    <w:bookmarkEnd w:id="223"/>
    <w:bookmarkStart w:id="224"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224"/>
    <w:bookmarkStart w:id="225"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225"/>
    <w:bookmarkStart w:id="226" w:name="ref-rothman2019third"/>
    <w:p>
      <w:pPr>
        <w:pStyle w:val="Bibliography"/>
      </w:pPr>
      <w:r>
        <w:t xml:space="preserve">Rothman, J., Alonso, J. G., &amp; Puig-Mayenco, E. (2019).</w:t>
      </w:r>
      <w:r>
        <w:t xml:space="preserve"> </w:t>
      </w:r>
      <w:r>
        <w:rPr>
          <w:i/>
          <w:iCs/>
        </w:rPr>
        <w:t xml:space="preserve">Third language acquisition and linguistic transfer</w:t>
      </w:r>
      <w:r>
        <w:t xml:space="preserve"> </w:t>
      </w:r>
      <w:r>
        <w:t xml:space="preserve">(Vol. 163). Cambridge University Press.</w:t>
      </w:r>
    </w:p>
    <w:bookmarkEnd w:id="226"/>
    <w:bookmarkStart w:id="227" w:name="ref-slabakova2017scalpel"/>
    <w:p>
      <w:pPr>
        <w:pStyle w:val="Bibliography"/>
      </w:pPr>
      <w:r>
        <w:t xml:space="preserve">Slabakova, R. (2017). The scalpel model of third language acquisition.</w:t>
      </w:r>
      <w:r>
        <w:t xml:space="preserve"> </w:t>
      </w:r>
      <w:r>
        <w:rPr>
          <w:i/>
          <w:iCs/>
        </w:rPr>
        <w:t xml:space="preserve">International Journal of Bilingualism</w:t>
      </w:r>
      <w:r>
        <w:t xml:space="preserve">,</w:t>
      </w:r>
      <w:r>
        <w:t xml:space="preserve"> </w:t>
      </w:r>
      <w:r>
        <w:rPr>
          <w:i/>
          <w:iCs/>
        </w:rPr>
        <w:t xml:space="preserve">21</w:t>
      </w:r>
      <w:r>
        <w:t xml:space="preserve">(6), 651–665.</w:t>
      </w:r>
    </w:p>
    <w:bookmarkEnd w:id="227"/>
    <w:bookmarkStart w:id="228" w:name="ref-model2023l3"/>
    <w:p>
      <w:pPr>
        <w:pStyle w:val="Bibliography"/>
      </w:pPr>
      <w:r>
        <w:t xml:space="preserve">Sprouse, R. A., &amp; Schwartz, B. D. (2023). L3 cognitive states and the abbreviated grappling period model.</w:t>
      </w:r>
      <w:r>
        <w:t xml:space="preserve"> </w:t>
      </w:r>
      <w:r>
        <w:rPr>
          <w:i/>
          <w:iCs/>
        </w:rPr>
        <w:t xml:space="preserve">Variation in Linguistics: Second Language Acquisition, Discourse Studies, Sociolinguistics, Syntax</w:t>
      </w:r>
      <w:r>
        <w:t xml:space="preserve">, 1.</w:t>
      </w:r>
    </w:p>
    <w:bookmarkEnd w:id="228"/>
    <w:bookmarkStart w:id="230"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229">
        <w:r>
          <w:rPr>
            <w:rStyle w:val="Hyperlink"/>
          </w:rPr>
          <w:t xml:space="preserve">10.14746/ssllt.2011.1.2.2</w:t>
        </w:r>
      </w:hyperlink>
    </w:p>
    <w:bookmarkEnd w:id="230"/>
    <w:bookmarkStart w:id="232"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231">
        <w:r>
          <w:rPr>
            <w:rStyle w:val="Hyperlink"/>
          </w:rPr>
          <w:t xml:space="preserve">10.1017/S1366728923000949</w:t>
        </w:r>
      </w:hyperlink>
    </w:p>
    <w:bookmarkEnd w:id="232"/>
    <w:bookmarkStart w:id="234"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233">
        <w:r>
          <w:rPr>
            <w:rStyle w:val="Hyperlink"/>
          </w:rPr>
          <w:t xml:space="preserve">10.1111/j.1467-9922.2009.00519.x</w:t>
        </w:r>
      </w:hyperlink>
    </w:p>
    <w:bookmarkEnd w:id="234"/>
    <w:bookmarkStart w:id="236" w:name="ref-UNESCO2025MultilingualEducation"/>
    <w:p>
      <w:pPr>
        <w:pStyle w:val="Bibliography"/>
      </w:pPr>
      <w:r>
        <w:t xml:space="preserve">UNESCO. (2025, March 4). What you need to know about multilingual education. Retrieved July 7, 2026, from</w:t>
      </w:r>
      <w:r>
        <w:t xml:space="preserve"> </w:t>
      </w:r>
      <w:hyperlink r:id="rId235">
        <w:r>
          <w:rPr>
            <w:rStyle w:val="Hyperlink"/>
          </w:rPr>
          <w:t xml:space="preserve">https://www.unesco.org/en/languages-education/need-know</w:t>
        </w:r>
      </w:hyperlink>
    </w:p>
    <w:bookmarkEnd w:id="236"/>
    <w:bookmarkStart w:id="237" w:name="ref-westergaard2017crosslinguistic"/>
    <w:p>
      <w:pPr>
        <w:pStyle w:val="Bibliography"/>
      </w:pPr>
      <w:r>
        <w:t xml:space="preserve">Westergaard, M., Mitrofanova, N., Mykhaylyk, R., &amp; Rodina, Y. (2017). Crosslinguistic influence in the acquisition of a third language: The linguistic proximity model.</w:t>
      </w:r>
      <w:r>
        <w:t xml:space="preserve"> </w:t>
      </w:r>
      <w:r>
        <w:rPr>
          <w:i/>
          <w:iCs/>
        </w:rPr>
        <w:t xml:space="preserve">International Journal of Bilingualism</w:t>
      </w:r>
      <w:r>
        <w:t xml:space="preserve">,</w:t>
      </w:r>
      <w:r>
        <w:t xml:space="preserve"> </w:t>
      </w:r>
      <w:r>
        <w:rPr>
          <w:i/>
          <w:iCs/>
        </w:rPr>
        <w:t xml:space="preserve">21</w:t>
      </w:r>
      <w:r>
        <w:t xml:space="preserve">(6), 666–682.</w:t>
      </w:r>
    </w:p>
    <w:bookmarkEnd w:id="237"/>
    <w:bookmarkStart w:id="239"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238">
        <w:r>
          <w:rPr>
            <w:rStyle w:val="Hyperlink"/>
          </w:rPr>
          <w:t xml:space="preserve">10.3389/fpsyg.2021.647362</w:t>
        </w:r>
      </w:hyperlink>
    </w:p>
    <w:bookmarkEnd w:id="239"/>
    <w:bookmarkEnd w:id="240"/>
    <w:bookmarkEnd w:id="241"/>
    <w:sectPr w:rsidR="000A1916">
      <w:headerReference r:id="rId47" w:type="even"/>
      <w:headerReference r:id="rId48" w:type="default"/>
      <w:footerReference r:id="rId49" w:type="even"/>
      <w:footerReference r:id="rId50" w:type="default"/>
      <w:headerReference r:id="rId51" w:type="first"/>
      <w:footerReference r:id="rId5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60" Target="numbering.xml" /><Relationship Type="http://schemas.openxmlformats.org/officeDocument/2006/relationships/styles" Id="rId59" Target="styles.xml" /><Relationship Type="http://schemas.openxmlformats.org/officeDocument/2006/relationships/settings" Id="rId58" Target="settings.xml" /><Relationship Type="http://schemas.openxmlformats.org/officeDocument/2006/relationships/webSettings" Id="rId57" Target="webSettings.xml" /><Relationship Type="http://schemas.openxmlformats.org/officeDocument/2006/relationships/fontTable" Id="rId56" Target="fontTable.xml" /><Relationship Type="http://schemas.openxmlformats.org/officeDocument/2006/relationships/theme" Id="rId55" Target="theme/theme1.xml" /><Relationship Type="http://schemas.openxmlformats.org/officeDocument/2006/relationships/footnotes" Id="rId54" Target="footnotes.xml" /><Relationship Type="http://schemas.openxmlformats.org/officeDocument/2006/relationships/comments" Id="rId53" Target="comments.xml" /><Relationship Id="rId47" Target="header1.xml" Type="http://schemas.openxmlformats.org/officeDocument/2006/relationships/header" /><Relationship Id="rId50" Target="footer2.xml" Type="http://schemas.openxmlformats.org/officeDocument/2006/relationships/footer" /><Relationship Id="rId7" Target="media/image1.png" Type="http://schemas.openxmlformats.org/officeDocument/2006/relationships/image" /><Relationship Id="rId52" Target="footer3.xml" Type="http://schemas.openxmlformats.org/officeDocument/2006/relationships/footer" /><Relationship Id="rId48" Target="header2.xml" Type="http://schemas.openxmlformats.org/officeDocument/2006/relationships/header" /><Relationship Id="rId51" Target="header3.xml" Type="http://schemas.openxmlformats.org/officeDocument/2006/relationships/header" /><Relationship Id="rId49"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81" Target="media/rId81.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hyperlink" Id="rId178" Target="https://doi.org/10.1016/j.actpsy.2008.03.010" TargetMode="External" /><Relationship Type="http://schemas.openxmlformats.org/officeDocument/2006/relationships/hyperlink" Id="rId218" Target="https://doi.org/10.1016/j.actpsy.2017.08.008" TargetMode="External" /><Relationship Type="http://schemas.openxmlformats.org/officeDocument/2006/relationships/hyperlink" Id="rId155" Target="https://doi.org/10.1016/j.jml.2009.12.003" TargetMode="External" /><Relationship Type="http://schemas.openxmlformats.org/officeDocument/2006/relationships/hyperlink" Id="rId211" Target="https://doi.org/10.1016/j.jml.2012.12.003" TargetMode="External" /><Relationship Type="http://schemas.openxmlformats.org/officeDocument/2006/relationships/hyperlink" Id="rId184" Target="https://doi.org/10.1017/S0142716424000158" TargetMode="External" /><Relationship Type="http://schemas.openxmlformats.org/officeDocument/2006/relationships/hyperlink" Id="rId157" Target="https://doi.org/10.1017/S1366728902003012" TargetMode="External" /><Relationship Type="http://schemas.openxmlformats.org/officeDocument/2006/relationships/hyperlink" Id="rId127" Target="https://doi.org/10.1017/S1366728911000460" TargetMode="External" /><Relationship Type="http://schemas.openxmlformats.org/officeDocument/2006/relationships/hyperlink" Id="rId160" Target="https://doi.org/10.1017/S1366728913000722" TargetMode="External" /><Relationship Type="http://schemas.openxmlformats.org/officeDocument/2006/relationships/hyperlink" Id="rId146" Target="https://doi.org/10.1017/S1366728921000511" TargetMode="External" /><Relationship Type="http://schemas.openxmlformats.org/officeDocument/2006/relationships/hyperlink" Id="rId202" Target="https://doi.org/10.1017/S1366728922000037" TargetMode="External" /><Relationship Type="http://schemas.openxmlformats.org/officeDocument/2006/relationships/hyperlink" Id="rId129" Target="https://doi.org/10.1017/S1366728922000062" TargetMode="External" /><Relationship Type="http://schemas.openxmlformats.org/officeDocument/2006/relationships/hyperlink" Id="rId231" Target="https://doi.org/10.1017/S1366728923000949" TargetMode="External" /><Relationship Type="http://schemas.openxmlformats.org/officeDocument/2006/relationships/hyperlink" Id="rId175" Target="https://doi.org/10.1017/S1366728924000270" TargetMode="External" /><Relationship Type="http://schemas.openxmlformats.org/officeDocument/2006/relationships/hyperlink" Id="rId167" Target="https://doi.org/10.1017/S1366728925000410" TargetMode="External" /><Relationship Type="http://schemas.openxmlformats.org/officeDocument/2006/relationships/hyperlink" Id="rId142" Target="https://doi.org/10.1037/xlm0000065" TargetMode="External" /><Relationship Type="http://schemas.openxmlformats.org/officeDocument/2006/relationships/hyperlink" Id="rId169" Target="https://doi.org/10.1038/s41598-021-92259-z" TargetMode="External" /><Relationship Type="http://schemas.openxmlformats.org/officeDocument/2006/relationships/hyperlink" Id="rId140" Target="https://doi.org/10.1075/lab.18095.car" TargetMode="External" /><Relationship Type="http://schemas.openxmlformats.org/officeDocument/2006/relationships/hyperlink" Id="rId193" Target="https://doi.org/10.1075/lab.21016.lij" TargetMode="External" /><Relationship Type="http://schemas.openxmlformats.org/officeDocument/2006/relationships/hyperlink" Id="rId133" Target="https://doi.org/10.1075/sibil.46.06bar" TargetMode="External" /><Relationship Type="http://schemas.openxmlformats.org/officeDocument/2006/relationships/hyperlink" Id="rId189" Target="https://doi.org/10.1080/01690960444000007" TargetMode="External" /><Relationship Type="http://schemas.openxmlformats.org/officeDocument/2006/relationships/hyperlink" Id="rId206" Target="https://doi.org/10.1080/13670050.2017.1325834" TargetMode="External" /><Relationship Type="http://schemas.openxmlformats.org/officeDocument/2006/relationships/hyperlink" Id="rId162" Target="https://doi.org/10.1080/14640749308401062" TargetMode="External" /><Relationship Type="http://schemas.openxmlformats.org/officeDocument/2006/relationships/hyperlink" Id="rId195" Target="https://doi.org/10.1111/1467-9922.00032" TargetMode="External" /><Relationship Type="http://schemas.openxmlformats.org/officeDocument/2006/relationships/hyperlink" Id="rId233" Target="https://doi.org/10.1111/j.1467-9922.2009.00519.x" TargetMode="External" /><Relationship Type="http://schemas.openxmlformats.org/officeDocument/2006/relationships/hyperlink" Id="rId135" Target="https://doi.org/10.1111/lang.12200" TargetMode="External" /><Relationship Type="http://schemas.openxmlformats.org/officeDocument/2006/relationships/hyperlink" Id="rId131" Target="https://doi.org/10.1177/0267658307080557" TargetMode="External" /><Relationship Type="http://schemas.openxmlformats.org/officeDocument/2006/relationships/hyperlink" Id="rId200" Target="https://doi.org/10.1177/0267658310386649" TargetMode="External" /><Relationship Type="http://schemas.openxmlformats.org/officeDocument/2006/relationships/hyperlink" Id="rId220" Target="https://doi.org/10.1177/0267658318809147" TargetMode="External" /><Relationship Type="http://schemas.openxmlformats.org/officeDocument/2006/relationships/hyperlink" Id="rId191" Target="https://doi.org/10.1177/02676583221128525" TargetMode="External" /><Relationship Type="http://schemas.openxmlformats.org/officeDocument/2006/relationships/hyperlink" Id="rId216" Target="https://doi.org/10.1177/1367006912472262" TargetMode="External" /><Relationship Type="http://schemas.openxmlformats.org/officeDocument/2006/relationships/hyperlink" Id="rId204" Target="https://doi.org/10.1177/17470218231164373" TargetMode="External" /><Relationship Type="http://schemas.openxmlformats.org/officeDocument/2006/relationships/hyperlink" Id="rId144" Target="https://doi.org/10.1371/journal.pone.0134008" TargetMode="External" /><Relationship Type="http://schemas.openxmlformats.org/officeDocument/2006/relationships/hyperlink" Id="rId229" Target="https://doi.org/10.14746/ssllt.2011.1.2.2" TargetMode="External" /><Relationship Type="http://schemas.openxmlformats.org/officeDocument/2006/relationships/hyperlink" Id="rId153" Target="https://doi.org/10.2307/jj.27710839" TargetMode="External" /><Relationship Type="http://schemas.openxmlformats.org/officeDocument/2006/relationships/hyperlink" Id="rId238" Target="https://doi.org/10.3389/fpsyg.2021.647362" TargetMode="External" /><Relationship Type="http://schemas.openxmlformats.org/officeDocument/2006/relationships/hyperlink" Id="rId171" Target="https://doi.org/10.3389/fpsyg.2022.892822" TargetMode="External" /><Relationship Type="http://schemas.openxmlformats.org/officeDocument/2006/relationships/hyperlink" Id="rId164" Target="https://doi.org/10.3390/languages9100310" TargetMode="External" /><Relationship Type="http://schemas.openxmlformats.org/officeDocument/2006/relationships/hyperlink" Id="rId187" Target="https://doi.org/10.3758/s13428-011-0146-0" TargetMode="External" /><Relationship Type="http://schemas.openxmlformats.org/officeDocument/2006/relationships/hyperlink" Id="rId213" Target="https://doi.org/10.3758/s13428-018-01193-y" TargetMode="External" /><Relationship Type="http://schemas.openxmlformats.org/officeDocument/2006/relationships/hyperlink" Id="rId148" Target="https://doi.org/10.3758/s13428-022-01985-3" TargetMode="External" /><Relationship Type="http://schemas.openxmlformats.org/officeDocument/2006/relationships/hyperlink" Id="rId125" Target="https://matrix.aesla.org.es/RAEL/article/view/313" TargetMode="External" /><Relationship Type="http://schemas.openxmlformats.org/officeDocument/2006/relationships/hyperlink" Id="rId235" Target="https://www.unesco.org/en/languages-education/need-know"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1016/j.actpsy.2008.03.010" TargetMode="External" /><Relationship Type="http://schemas.openxmlformats.org/officeDocument/2006/relationships/hyperlink" Id="rId218" Target="https://doi.org/10.1016/j.actpsy.2017.08.008" TargetMode="External" /><Relationship Type="http://schemas.openxmlformats.org/officeDocument/2006/relationships/hyperlink" Id="rId155" Target="https://doi.org/10.1016/j.jml.2009.12.003" TargetMode="External" /><Relationship Type="http://schemas.openxmlformats.org/officeDocument/2006/relationships/hyperlink" Id="rId211" Target="https://doi.org/10.1016/j.jml.2012.12.003" TargetMode="External" /><Relationship Type="http://schemas.openxmlformats.org/officeDocument/2006/relationships/hyperlink" Id="rId184" Target="https://doi.org/10.1017/S0142716424000158" TargetMode="External" /><Relationship Type="http://schemas.openxmlformats.org/officeDocument/2006/relationships/hyperlink" Id="rId157" Target="https://doi.org/10.1017/S1366728902003012" TargetMode="External" /><Relationship Type="http://schemas.openxmlformats.org/officeDocument/2006/relationships/hyperlink" Id="rId127" Target="https://doi.org/10.1017/S1366728911000460" TargetMode="External" /><Relationship Type="http://schemas.openxmlformats.org/officeDocument/2006/relationships/hyperlink" Id="rId160" Target="https://doi.org/10.1017/S1366728913000722" TargetMode="External" /><Relationship Type="http://schemas.openxmlformats.org/officeDocument/2006/relationships/hyperlink" Id="rId146" Target="https://doi.org/10.1017/S1366728921000511" TargetMode="External" /><Relationship Type="http://schemas.openxmlformats.org/officeDocument/2006/relationships/hyperlink" Id="rId202" Target="https://doi.org/10.1017/S1366728922000037" TargetMode="External" /><Relationship Type="http://schemas.openxmlformats.org/officeDocument/2006/relationships/hyperlink" Id="rId129" Target="https://doi.org/10.1017/S1366728922000062" TargetMode="External" /><Relationship Type="http://schemas.openxmlformats.org/officeDocument/2006/relationships/hyperlink" Id="rId231" Target="https://doi.org/10.1017/S1366728923000949" TargetMode="External" /><Relationship Type="http://schemas.openxmlformats.org/officeDocument/2006/relationships/hyperlink" Id="rId175" Target="https://doi.org/10.1017/S1366728924000270" TargetMode="External" /><Relationship Type="http://schemas.openxmlformats.org/officeDocument/2006/relationships/hyperlink" Id="rId167" Target="https://doi.org/10.1017/S1366728925000410" TargetMode="External" /><Relationship Type="http://schemas.openxmlformats.org/officeDocument/2006/relationships/hyperlink" Id="rId142" Target="https://doi.org/10.1037/xlm0000065" TargetMode="External" /><Relationship Type="http://schemas.openxmlformats.org/officeDocument/2006/relationships/hyperlink" Id="rId169" Target="https://doi.org/10.1038/s41598-021-92259-z" TargetMode="External" /><Relationship Type="http://schemas.openxmlformats.org/officeDocument/2006/relationships/hyperlink" Id="rId140" Target="https://doi.org/10.1075/lab.18095.car" TargetMode="External" /><Relationship Type="http://schemas.openxmlformats.org/officeDocument/2006/relationships/hyperlink" Id="rId193" Target="https://doi.org/10.1075/lab.21016.lij" TargetMode="External" /><Relationship Type="http://schemas.openxmlformats.org/officeDocument/2006/relationships/hyperlink" Id="rId133" Target="https://doi.org/10.1075/sibil.46.06bar" TargetMode="External" /><Relationship Type="http://schemas.openxmlformats.org/officeDocument/2006/relationships/hyperlink" Id="rId189" Target="https://doi.org/10.1080/01690960444000007" TargetMode="External" /><Relationship Type="http://schemas.openxmlformats.org/officeDocument/2006/relationships/hyperlink" Id="rId206" Target="https://doi.org/10.1080/13670050.2017.1325834" TargetMode="External" /><Relationship Type="http://schemas.openxmlformats.org/officeDocument/2006/relationships/hyperlink" Id="rId162" Target="https://doi.org/10.1080/14640749308401062" TargetMode="External" /><Relationship Type="http://schemas.openxmlformats.org/officeDocument/2006/relationships/hyperlink" Id="rId195" Target="https://doi.org/10.1111/1467-9922.00032" TargetMode="External" /><Relationship Type="http://schemas.openxmlformats.org/officeDocument/2006/relationships/hyperlink" Id="rId233" Target="https://doi.org/10.1111/j.1467-9922.2009.00519.x" TargetMode="External" /><Relationship Type="http://schemas.openxmlformats.org/officeDocument/2006/relationships/hyperlink" Id="rId135" Target="https://doi.org/10.1111/lang.12200" TargetMode="External" /><Relationship Type="http://schemas.openxmlformats.org/officeDocument/2006/relationships/hyperlink" Id="rId131" Target="https://doi.org/10.1177/0267658307080557" TargetMode="External" /><Relationship Type="http://schemas.openxmlformats.org/officeDocument/2006/relationships/hyperlink" Id="rId200" Target="https://doi.org/10.1177/0267658310386649" TargetMode="External" /><Relationship Type="http://schemas.openxmlformats.org/officeDocument/2006/relationships/hyperlink" Id="rId220" Target="https://doi.org/10.1177/0267658318809147" TargetMode="External" /><Relationship Type="http://schemas.openxmlformats.org/officeDocument/2006/relationships/hyperlink" Id="rId191" Target="https://doi.org/10.1177/02676583221128525" TargetMode="External" /><Relationship Type="http://schemas.openxmlformats.org/officeDocument/2006/relationships/hyperlink" Id="rId216" Target="https://doi.org/10.1177/1367006912472262" TargetMode="External" /><Relationship Type="http://schemas.openxmlformats.org/officeDocument/2006/relationships/hyperlink" Id="rId204" Target="https://doi.org/10.1177/17470218231164373" TargetMode="External" /><Relationship Type="http://schemas.openxmlformats.org/officeDocument/2006/relationships/hyperlink" Id="rId144" Target="https://doi.org/10.1371/journal.pone.0134008" TargetMode="External" /><Relationship Type="http://schemas.openxmlformats.org/officeDocument/2006/relationships/hyperlink" Id="rId229" Target="https://doi.org/10.14746/ssllt.2011.1.2.2" TargetMode="External" /><Relationship Type="http://schemas.openxmlformats.org/officeDocument/2006/relationships/hyperlink" Id="rId153" Target="https://doi.org/10.2307/jj.27710839" TargetMode="External" /><Relationship Type="http://schemas.openxmlformats.org/officeDocument/2006/relationships/hyperlink" Id="rId238" Target="https://doi.org/10.3389/fpsyg.2021.647362" TargetMode="External" /><Relationship Type="http://schemas.openxmlformats.org/officeDocument/2006/relationships/hyperlink" Id="rId171" Target="https://doi.org/10.3389/fpsyg.2022.892822" TargetMode="External" /><Relationship Type="http://schemas.openxmlformats.org/officeDocument/2006/relationships/hyperlink" Id="rId164" Target="https://doi.org/10.3390/languages9100310" TargetMode="External" /><Relationship Type="http://schemas.openxmlformats.org/officeDocument/2006/relationships/hyperlink" Id="rId187" Target="https://doi.org/10.3758/s13428-011-0146-0" TargetMode="External" /><Relationship Type="http://schemas.openxmlformats.org/officeDocument/2006/relationships/hyperlink" Id="rId213" Target="https://doi.org/10.3758/s13428-018-01193-y" TargetMode="External" /><Relationship Type="http://schemas.openxmlformats.org/officeDocument/2006/relationships/hyperlink" Id="rId148" Target="https://doi.org/10.3758/s13428-022-01985-3" TargetMode="External" /><Relationship Type="http://schemas.openxmlformats.org/officeDocument/2006/relationships/hyperlink" Id="rId125" Target="https://matrix.aesla.org.es/RAEL/article/view/313" TargetMode="External" /><Relationship Type="http://schemas.openxmlformats.org/officeDocument/2006/relationships/hyperlink" Id="rId235" Target="https://www.unesco.org/en/languages-education/need-kn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2026-08-17T17:45:58Z</dcterms:created>
  <dcterms:modified xsi:type="dcterms:W3CDTF">2026-08-17T17:45:58Z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