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5400"/>
        <w:gridCol w:w="450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60" w:before="0"/>
              <w:jc w:val="left"/>
            </w:pPr>
            <w:r>
              <w:rPr>
                <w:rFonts w:ascii="Calibri" w:cs="Calibri" w:eastAsia="Calibri" w:hAnsi="Calibri"/>
                <w:b/>
                <w:bCs/>
                <w:i w:val="false"/>
                <w:iCs w:val="false"/>
                <w:color w:val="1F3864"/>
                <w:sz w:val="26"/>
                <w:szCs w:val="26"/>
              </w:rPr>
              <w:t xml:space="preserve">[VOTRE SOCIÉTÉ]</w:t>
            </w:r>
          </w:p>
          <w:p>
            <w:pPr>
              <w:spacing w:after="60" w:before="0"/>
              <w:jc w:val="left"/>
            </w:pPr>
            <w:r>
              <w:rPr>
                <w:rFonts w:ascii="Calibri" w:cs="Calibri" w:eastAsia="Calibri" w:hAnsi="Calibri"/>
                <w:b w:val="false"/>
                <w:bCs w:val="false"/>
                <w:i/>
                <w:iCs/>
                <w:color w:val="595959"/>
                <w:sz w:val="17"/>
                <w:szCs w:val="17"/>
              </w:rPr>
              <w:t xml:space="preserve">Maintenance électronique et instrumentation industrielle</w:t>
            </w:r>
          </w:p>
          <w:p>
            <w:pPr>
              <w:spacing w:after="60" w:before="0"/>
              <w:jc w:val="left"/>
            </w:pPr>
            <w:r>
              <w:rPr>
                <w:rFonts w:ascii="Calibri" w:cs="Calibri" w:eastAsia="Calibri" w:hAnsi="Calibri"/>
                <w:b w:val="false"/>
                <w:bCs w:val="false"/>
                <w:i w:val="false"/>
                <w:iCs w:val="false"/>
                <w:color w:val="000000"/>
                <w:sz w:val="17"/>
                <w:szCs w:val="17"/>
              </w:rPr>
              <w:t xml:space="preserve">[Adresse — Zone industrielle, Abidjan]</w:t>
            </w:r>
          </w:p>
          <w:p>
            <w:pPr>
              <w:spacing w:after="60" w:before="0"/>
              <w:jc w:val="left"/>
            </w:pPr>
            <w:r>
              <w:rPr>
                <w:rFonts w:ascii="Calibri" w:cs="Calibri" w:eastAsia="Calibri" w:hAnsi="Calibri"/>
                <w:b w:val="false"/>
                <w:bCs w:val="false"/>
                <w:i w:val="false"/>
                <w:iCs w:val="false"/>
                <w:color w:val="000000"/>
                <w:sz w:val="17"/>
                <w:szCs w:val="17"/>
              </w:rPr>
              <w:t xml:space="preserve">Tél. : [+225 XX XX XX XX XX]</w:t>
            </w:r>
          </w:p>
          <w:p>
            <w:pPr>
              <w:spacing w:after="60" w:before="0"/>
              <w:jc w:val="left"/>
            </w:pPr>
            <w:r>
              <w:rPr>
                <w:rFonts w:ascii="Calibri" w:cs="Calibri" w:eastAsia="Calibri" w:hAnsi="Calibri"/>
                <w:b w:val="false"/>
                <w:bCs w:val="false"/>
                <w:i w:val="false"/>
                <w:iCs w:val="false"/>
                <w:color w:val="000000"/>
                <w:sz w:val="17"/>
                <w:szCs w:val="17"/>
              </w:rPr>
              <w:t xml:space="preserve">E-mail : thortechnologie@gmail.com</w:t>
            </w:r>
          </w:p>
          <w:p>
            <w:pPr>
              <w:spacing w:after="60" w:before="0"/>
              <w:jc w:val="left"/>
            </w:pPr>
            <w:r>
              <w:rPr>
                <w:rFonts w:ascii="Calibri" w:cs="Calibri" w:eastAsia="Calibri" w:hAnsi="Calibri"/>
                <w:b w:val="false"/>
                <w:bCs w:val="false"/>
                <w:i w:val="false"/>
                <w:iCs w:val="false"/>
                <w:color w:val="000000"/>
                <w:sz w:val="17"/>
                <w:szCs w:val="17"/>
              </w:rPr>
              <w:t xml:space="preserve">RCCM : [N°] — CC : [N° Compte Contribuable]</w:t>
            </w:r>
          </w:p>
        </w:tc>
        <w:tc>
          <w:tcPr>
            <w:tcW w:type="dxa" w:w="4500"/>
            <w:tcBorders>
              <w:top w:val="none" w:color="FFFFFF" w:sz="0"/>
              <w:left w:val="none" w:color="FFFFFF" w:sz="0"/>
              <w:bottom w:val="none" w:color="FFFFFF" w:sz="0"/>
              <w:right w:val="none" w:color="FFFFFF" w:sz="0"/>
            </w:tcBorders>
            <w:shd w:fill="FAFAFA" w:color="auto" w:val="clear"/>
            <w:tcMar>
              <w:top w:type="dxa" w:w="140"/>
              <w:left w:type="dxa" w:w="160"/>
              <w:bottom w:type="dxa" w:w="140"/>
              <w:right w:type="dxa" w:w="160"/>
            </w:tcMar>
          </w:tcPr>
          <w:p>
            <w:pPr>
              <w:spacing w:after="60" w:before="0"/>
              <w:jc w:val="left"/>
            </w:pPr>
            <w:r>
              <w:rPr>
                <w:rFonts w:ascii="Calibri" w:cs="Calibri" w:eastAsia="Calibri" w:hAnsi="Calibri"/>
                <w:b/>
                <w:bCs/>
                <w:i w:val="false"/>
                <w:iCs w:val="false"/>
                <w:color w:val="1F3864"/>
                <w:sz w:val="16"/>
                <w:szCs w:val="16"/>
              </w:rPr>
              <w:t xml:space="preserve">CLIENT</w:t>
            </w:r>
          </w:p>
          <w:p>
            <w:pPr>
              <w:spacing w:after="60" w:before="0"/>
              <w:jc w:val="left"/>
            </w:pPr>
            <w:r>
              <w:rPr>
                <w:rFonts w:ascii="Calibri" w:cs="Calibri" w:eastAsia="Calibri" w:hAnsi="Calibri"/>
                <w:b/>
                <w:bCs/>
                <w:i w:val="false"/>
                <w:iCs w:val="false"/>
                <w:color w:val="000000"/>
                <w:sz w:val="22"/>
                <w:szCs w:val="22"/>
              </w:rPr>
              <w:t xml:space="preserve">ATINKOU</w:t>
            </w:r>
          </w:p>
          <w:p>
            <w:pPr>
              <w:spacing w:after="60" w:before="0"/>
              <w:jc w:val="left"/>
            </w:pPr>
            <w:r>
              <w:rPr>
                <w:rFonts w:ascii="Calibri" w:cs="Calibri" w:eastAsia="Calibri" w:hAnsi="Calibri"/>
                <w:b w:val="false"/>
                <w:bCs w:val="false"/>
                <w:i w:val="false"/>
                <w:iCs w:val="false"/>
                <w:color w:val="000000"/>
                <w:sz w:val="17"/>
                <w:szCs w:val="17"/>
              </w:rPr>
              <w:t xml:space="preserve">[Centrale thermique — Jacqueville, Côte d’Ivoire]</w:t>
            </w:r>
          </w:p>
          <w:p>
            <w:pPr>
              <w:spacing w:after="60" w:before="0"/>
              <w:jc w:val="left"/>
            </w:pPr>
            <w:r>
              <w:rPr>
                <w:rFonts w:ascii="Calibri" w:cs="Calibri" w:eastAsia="Calibri" w:hAnsi="Calibri"/>
                <w:b w:val="false"/>
                <w:bCs w:val="false"/>
                <w:i w:val="false"/>
                <w:iCs w:val="false"/>
                <w:color w:val="000000"/>
                <w:sz w:val="17"/>
                <w:szCs w:val="17"/>
              </w:rPr>
              <w:t xml:space="preserve">À l’attention de : [Nom du destinataire]</w:t>
            </w:r>
          </w:p>
          <w:p>
            <w:pPr>
              <w:spacing w:after="60" w:before="0"/>
              <w:jc w:val="left"/>
            </w:pPr>
            <w:r>
              <w:rPr>
                <w:rFonts w:ascii="Calibri" w:cs="Calibri" w:eastAsia="Calibri" w:hAnsi="Calibri"/>
                <w:b w:val="false"/>
                <w:bCs w:val="false"/>
                <w:i w:val="false"/>
                <w:iCs w:val="false"/>
                <w:color w:val="000000"/>
                <w:sz w:val="17"/>
                <w:szCs w:val="17"/>
              </w:rPr>
              <w:t xml:space="preserve">Service : Maintenance / Instrumentation</w:t>
            </w:r>
          </w:p>
        </w:tc>
      </w:tr>
    </w:tbl>
    <w:p>
      <w:pPr>
        <w:spacing w:after="200"/>
      </w:pPr>
    </w:p>
    <w:p>
      <w:pPr>
        <w:pBdr>
          <w:bottom w:val="single" w:color="1F3864" w:sz="12" w:space="6"/>
        </w:pBdr>
        <w:spacing w:after="40"/>
        <w:jc w:val="center"/>
      </w:pPr>
      <w:r>
        <w:rPr>
          <w:rFonts w:ascii="Calibri" w:cs="Calibri" w:eastAsia="Calibri" w:hAnsi="Calibri"/>
          <w:b/>
          <w:bCs/>
          <w:color w:val="1F3864"/>
          <w:sz w:val="34"/>
          <w:szCs w:val="34"/>
        </w:rPr>
        <w:t xml:space="preserve">DEVIS PROFORMA</w:t>
      </w:r>
    </w:p>
    <w:p>
      <w:pPr>
        <w:spacing w:after="30"/>
        <w:jc w:val="center"/>
      </w:pPr>
      <w:r>
        <w:rPr>
          <w:rFonts w:ascii="Calibri" w:cs="Calibri" w:eastAsia="Calibri" w:hAnsi="Calibri"/>
          <w:b/>
          <w:bCs/>
          <w:color w:val="C00000"/>
          <w:sz w:val="20"/>
          <w:szCs w:val="20"/>
        </w:rPr>
        <w:t xml:space="preserve">PHASE 1 — FOURNITURES ET COMPOSANTS</w:t>
      </w:r>
    </w:p>
    <w:p>
      <w:pPr>
        <w:spacing w:after="180"/>
        <w:jc w:val="center"/>
      </w:pPr>
      <w:r>
        <w:rPr>
          <w:rFonts w:ascii="Calibri" w:cs="Calibri" w:eastAsia="Calibri" w:hAnsi="Calibri"/>
          <w:color w:val="595959"/>
          <w:sz w:val="18"/>
          <w:szCs w:val="18"/>
        </w:rPr>
        <w:t xml:space="preserve">N° PRO-2026-014/A   ·   Abidjan, le 14 septembre 2026   ·   Validité : voir conditions</w:t>
      </w:r>
    </w:p>
    <w:p>
      <w:pPr>
        <w:spacing w:after="80" w:before="0"/>
        <w:jc w:val="left"/>
      </w:pPr>
      <w:r>
        <w:rPr>
          <w:rFonts w:ascii="Calibri" w:cs="Calibri" w:eastAsia="Calibri" w:hAnsi="Calibri"/>
          <w:b/>
          <w:bCs/>
          <w:i w:val="false"/>
          <w:iCs w:val="false"/>
          <w:color w:val="1F3864"/>
          <w:sz w:val="20"/>
          <w:szCs w:val="20"/>
        </w:rPr>
        <w:t xml:space="preserve">OBJET : Fourniture des composants, pièces détachées et consommables nécessaires au dépannage des équipements</w:t>
      </w:r>
    </w:p>
    <w:p>
      <w:pPr>
        <w:spacing w:after="200" w:before="0"/>
        <w:jc w:val="left"/>
      </w:pPr>
      <w:r>
        <w:rPr>
          <w:rFonts w:ascii="Calibri" w:cs="Calibri" w:eastAsia="Calibri" w:hAnsi="Calibri"/>
          <w:b w:val="false"/>
          <w:bCs w:val="false"/>
          <w:i w:val="false"/>
          <w:iCs w:val="false"/>
          <w:color w:val="000000"/>
          <w:sz w:val="19"/>
          <w:szCs w:val="19"/>
        </w:rPr>
        <w:t xml:space="preserve">Le présent document couvre exclusivement l’approvisionnement des pièces et composants indispensables à la remise en état des équipements qui nous ont été confiés. Les composants sont commandés sur mesure auprès de nos fournisseurs après réception de votre accord. Les prestations de démontage, réparation, essais et étalonnage font l’objet d’un devis distinct (réf. PRO-2026-014/B).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700"/>
        <w:gridCol w:w="1600"/>
        <w:gridCol w:w="1800"/>
      </w:tblGrid>
      <w:tr>
        <w:trPr>
          <w:tblHeader/>
        </w:trPr>
        <w:tc>
          <w:tcPr>
            <w:tcW w:type="dxa" w:w="600"/>
            <w:shd w:fill="1F3864" w:color="auto" w:val="clear"/>
            <w:tcMar>
              <w:top w:type="dxa" w:w="60"/>
              <w:left w:type="dxa" w:w="100"/>
              <w:bottom w:type="dxa" w:w="60"/>
              <w:right w:type="dxa" w:w="100"/>
            </w:tcMar>
            <w:vAlign w:val="center"/>
          </w:tcPr>
          <w:p>
            <w:pPr>
              <w:spacing w:after="0"/>
              <w:jc w:val="center"/>
            </w:pPr>
            <w:r>
              <w:rPr>
                <w:rFonts w:ascii="Calibri" w:cs="Calibri" w:eastAsia="Calibri" w:hAnsi="Calibri"/>
                <w:b/>
                <w:bCs/>
                <w:i w:val="false"/>
                <w:iCs w:val="false"/>
                <w:color w:val="FFFFFF"/>
                <w:sz w:val="18"/>
                <w:szCs w:val="18"/>
              </w:rPr>
              <w:t xml:space="preserve">N°</w:t>
            </w:r>
          </w:p>
        </w:tc>
        <w:tc>
          <w:tcPr>
            <w:tcW w:type="dxa" w:w="52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FFFFFF"/>
                <w:sz w:val="18"/>
                <w:szCs w:val="18"/>
              </w:rPr>
              <w:t xml:space="preserve">Désignation</w:t>
            </w:r>
          </w:p>
        </w:tc>
        <w:tc>
          <w:tcPr>
            <w:tcW w:type="dxa" w:w="700"/>
            <w:shd w:fill="1F3864" w:color="auto" w:val="clear"/>
            <w:tcMar>
              <w:top w:type="dxa" w:w="60"/>
              <w:left w:type="dxa" w:w="100"/>
              <w:bottom w:type="dxa" w:w="60"/>
              <w:right w:type="dxa" w:w="100"/>
            </w:tcMar>
            <w:vAlign w:val="center"/>
          </w:tcPr>
          <w:p>
            <w:pPr>
              <w:spacing w:after="0"/>
              <w:jc w:val="center"/>
            </w:pPr>
            <w:r>
              <w:rPr>
                <w:rFonts w:ascii="Calibri" w:cs="Calibri" w:eastAsia="Calibri" w:hAnsi="Calibri"/>
                <w:b/>
                <w:bCs/>
                <w:i w:val="false"/>
                <w:iCs w:val="false"/>
                <w:color w:val="FFFFFF"/>
                <w:sz w:val="18"/>
                <w:szCs w:val="18"/>
              </w:rPr>
              <w:t xml:space="preserve">Qté</w:t>
            </w:r>
          </w:p>
        </w:tc>
        <w:tc>
          <w:tcPr>
            <w:tcW w:type="dxa" w:w="16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18"/>
                <w:szCs w:val="18"/>
              </w:rPr>
              <w:t xml:space="preserve">P.U. HT</w:t>
            </w:r>
          </w:p>
        </w:tc>
        <w:tc>
          <w:tcPr>
            <w:tcW w:type="dxa" w:w="18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18"/>
                <w:szCs w:val="18"/>
              </w:rPr>
              <w:t xml:space="preserve">Montant HT</w:t>
            </w:r>
          </w:p>
        </w:tc>
      </w:tr>
      <w:tr>
        <w:tc>
          <w:tcPr>
            <w:tcW w:type="dxa" w:w="9900"/>
            <w:gridSpan w:val="5"/>
            <w:shd w:fill="F2F2F2" w:color="auto" w:val="clear"/>
            <w:tcMar>
              <w:top w:type="dxa" w:w="60"/>
              <w:left w:type="dxa" w:w="100"/>
              <w:bottom w:type="dxa" w:w="60"/>
              <w:right w:type="dxa" w:w="100"/>
            </w:tcMar>
          </w:tcPr>
          <w:p>
            <w:pPr>
              <w:spacing w:after="0"/>
            </w:pPr>
            <w:r>
              <w:rPr>
                <w:rFonts w:ascii="Calibri" w:cs="Calibri" w:eastAsia="Calibri" w:hAnsi="Calibri"/>
                <w:b/>
                <w:bCs/>
                <w:color w:val="1F3864"/>
                <w:sz w:val="18"/>
                <w:szCs w:val="18"/>
              </w:rPr>
              <w:t xml:space="preserve">A — COMPOSANTS PAR ÉQUIPEMENT</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Jeu de relais de puissance et bloc contacteur — carte AOX réf. C1171-M1</w:t>
            </w:r>
          </w:p>
          <w:p>
            <w:pPr>
              <w:spacing w:after="0"/>
              <w:jc w:val="left"/>
            </w:pPr>
            <w:r>
              <w:rPr>
                <w:rFonts w:ascii="Calibri" w:cs="Calibri" w:eastAsia="Calibri" w:hAnsi="Calibri"/>
                <w:b/>
                <w:bCs/>
                <w:i/>
                <w:iCs/>
                <w:color w:val="595959"/>
                <w:sz w:val="16"/>
                <w:szCs w:val="16"/>
              </w:rPr>
              <w:t xml:space="preserve">4 relais de puissance et bloc contacteur 400 V compatibles actionneur AOX-M-060.</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185 000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185 000</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2</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Composants électroniques — carte de commande AOX C1171-M1</w:t>
            </w:r>
          </w:p>
          <w:p>
            <w:pPr>
              <w:spacing w:after="0"/>
              <w:jc w:val="left"/>
            </w:pPr>
            <w:r>
              <w:rPr>
                <w:rFonts w:ascii="Calibri" w:cs="Calibri" w:eastAsia="Calibri" w:hAnsi="Calibri"/>
                <w:b/>
                <w:bCs/>
                <w:i/>
                <w:iCs/>
                <w:color w:val="595959"/>
                <w:sz w:val="16"/>
                <w:szCs w:val="16"/>
              </w:rPr>
              <w:t xml:space="preserve">Condensateurs électrolytiques, régulateurs de tension, optocoupleurs,</w:t>
            </w:r>
          </w:p>
          <w:p>
            <w:pPr>
              <w:spacing w:after="0"/>
              <w:jc w:val="left"/>
            </w:pPr>
            <w:r>
              <w:rPr>
                <w:rFonts w:ascii="Calibri" w:cs="Calibri" w:eastAsia="Calibri" w:hAnsi="Calibri"/>
                <w:b/>
                <w:bCs/>
                <w:i/>
                <w:iCs/>
                <w:color w:val="595959"/>
                <w:sz w:val="16"/>
                <w:szCs w:val="16"/>
              </w:rPr>
              <w:t xml:space="preserve">diodes de roue libre, borniers et connecteurs de puissance.</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95 000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95 000</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3</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Kit de joints et relais pilote — positionneur ROTORK YTC YT-200</w:t>
            </w:r>
          </w:p>
          <w:p>
            <w:pPr>
              <w:spacing w:after="0"/>
              <w:jc w:val="left"/>
            </w:pPr>
            <w:r>
              <w:rPr>
                <w:rFonts w:ascii="Calibri" w:cs="Calibri" w:eastAsia="Calibri" w:hAnsi="Calibri"/>
                <w:b/>
                <w:bCs/>
                <w:i/>
                <w:iCs/>
                <w:color w:val="595959"/>
                <w:sz w:val="16"/>
                <w:szCs w:val="16"/>
              </w:rPr>
              <w:t xml:space="preserve">Kit d’étanchéité complet du bloc pneumatique et relais pilote de rechange.</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95 000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95 000</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4</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Condensateurs et composants de commutation — alimentation PULS CP10.481</w:t>
            </w:r>
          </w:p>
          <w:p>
            <w:pPr>
              <w:spacing w:after="0"/>
              <w:jc w:val="left"/>
            </w:pPr>
            <w:r>
              <w:rPr>
                <w:rFonts w:ascii="Calibri" w:cs="Calibri" w:eastAsia="Calibri" w:hAnsi="Calibri"/>
                <w:b/>
                <w:bCs/>
                <w:i/>
                <w:iCs/>
                <w:color w:val="595959"/>
                <w:sz w:val="16"/>
                <w:szCs w:val="16"/>
              </w:rPr>
              <w:t xml:space="preserve">Condensateurs électrolytiques basse ESR, transistor de commutation,</w:t>
            </w:r>
          </w:p>
          <w:p>
            <w:pPr>
              <w:spacing w:after="0"/>
              <w:jc w:val="left"/>
            </w:pPr>
            <w:r>
              <w:rPr>
                <w:rFonts w:ascii="Calibri" w:cs="Calibri" w:eastAsia="Calibri" w:hAnsi="Calibri"/>
                <w:b/>
                <w:bCs/>
                <w:i/>
                <w:iCs/>
                <w:color w:val="595959"/>
                <w:sz w:val="16"/>
                <w:szCs w:val="16"/>
              </w:rPr>
              <w:t xml:space="preserve">composants de l’étage primaire 100-240 V AC.</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65 000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65 000</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5</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Connectique, joints et pièces de reprise — transmetteurs SITRANS P320</w:t>
            </w:r>
          </w:p>
          <w:p>
            <w:pPr>
              <w:spacing w:after="0"/>
              <w:jc w:val="left"/>
            </w:pPr>
            <w:r>
              <w:rPr>
                <w:rFonts w:ascii="Calibri" w:cs="Calibri" w:eastAsia="Calibri" w:hAnsi="Calibri"/>
                <w:b/>
                <w:bCs/>
                <w:i/>
                <w:iCs/>
                <w:color w:val="595959"/>
                <w:sz w:val="16"/>
                <w:szCs w:val="16"/>
              </w:rPr>
              <w:t xml:space="preserve">Réf. 7MF03D0-1VE01-5AF2-Z · joints de raccord process, presse-étoupes,</w:t>
            </w:r>
          </w:p>
          <w:p>
            <w:pPr>
              <w:spacing w:after="0"/>
              <w:jc w:val="left"/>
            </w:pPr>
            <w:r>
              <w:rPr>
                <w:rFonts w:ascii="Calibri" w:cs="Calibri" w:eastAsia="Calibri" w:hAnsi="Calibri"/>
                <w:b/>
                <w:bCs/>
                <w:i/>
                <w:iCs/>
                <w:color w:val="595959"/>
                <w:sz w:val="16"/>
                <w:szCs w:val="16"/>
              </w:rPr>
              <w:t xml:space="preserve">bornier de raccordement et composants de la carte électronique.</w:t>
            </w:r>
          </w:p>
          <w:p>
            <w:pPr>
              <w:spacing w:after="0"/>
              <w:jc w:val="left"/>
            </w:pPr>
            <w:r>
              <w:rPr>
                <w:rFonts w:ascii="Calibri" w:cs="Calibri" w:eastAsia="Calibri" w:hAnsi="Calibri"/>
                <w:b/>
                <w:bCs/>
                <w:i/>
                <w:iCs/>
                <w:color w:val="595959"/>
                <w:sz w:val="16"/>
                <w:szCs w:val="16"/>
              </w:rPr>
              <w:t xml:space="preserve">Quantité pour trois transmetteurs.</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3</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45 000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135 000</w:t>
            </w:r>
          </w:p>
        </w:tc>
      </w:tr>
      <w:tr>
        <w:tc>
          <w:tcPr>
            <w:tcW w:type="dxa" w:w="9900"/>
            <w:gridSpan w:val="5"/>
            <w:shd w:fill="F2F2F2" w:color="auto" w:val="clear"/>
            <w:tcMar>
              <w:top w:type="dxa" w:w="60"/>
              <w:left w:type="dxa" w:w="100"/>
              <w:bottom w:type="dxa" w:w="60"/>
              <w:right w:type="dxa" w:w="100"/>
            </w:tcMar>
          </w:tcPr>
          <w:p>
            <w:pPr>
              <w:spacing w:after="0"/>
            </w:pPr>
            <w:r>
              <w:rPr>
                <w:rFonts w:ascii="Calibri" w:cs="Calibri" w:eastAsia="Calibri" w:hAnsi="Calibri"/>
                <w:b/>
                <w:bCs/>
                <w:color w:val="1F3864"/>
                <w:sz w:val="18"/>
                <w:szCs w:val="18"/>
              </w:rPr>
              <w:t xml:space="preserve">B — CONSOMMABLES ET APPROVISIONNEMENT</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6</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Consommables d’atelier</w:t>
            </w:r>
          </w:p>
          <w:p>
            <w:pPr>
              <w:spacing w:after="0"/>
              <w:jc w:val="left"/>
            </w:pPr>
            <w:r>
              <w:rPr>
                <w:rFonts w:ascii="Calibri" w:cs="Calibri" w:eastAsia="Calibri" w:hAnsi="Calibri"/>
                <w:b/>
                <w:bCs/>
                <w:i/>
                <w:iCs/>
                <w:color w:val="595959"/>
                <w:sz w:val="16"/>
                <w:szCs w:val="16"/>
              </w:rPr>
              <w:t xml:space="preserve">Soudure, tresse à dessouder, vernis de tropicalisation, produits de nettoyage</w:t>
            </w:r>
          </w:p>
          <w:p>
            <w:pPr>
              <w:spacing w:after="0"/>
              <w:jc w:val="left"/>
            </w:pPr>
            <w:r>
              <w:rPr>
                <w:rFonts w:ascii="Calibri" w:cs="Calibri" w:eastAsia="Calibri" w:hAnsi="Calibri"/>
                <w:b/>
                <w:bCs/>
                <w:i/>
                <w:iCs/>
                <w:color w:val="595959"/>
                <w:sz w:val="16"/>
                <w:szCs w:val="16"/>
              </w:rPr>
              <w:t xml:space="preserve">de cartes, gaines thermorétractables et visserie.</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45 000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45 000</w:t>
            </w:r>
          </w:p>
        </w:tc>
      </w:tr>
      <w:tr>
        <w:tc>
          <w:tcPr>
            <w:tcW w:type="dxa" w:w="6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7</w:t>
            </w:r>
          </w:p>
        </w:tc>
        <w:tc>
          <w:tcPr>
            <w:tcW w:type="dxa" w:w="52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Frais d’approvisionnement et d’acheminement</w:t>
            </w:r>
          </w:p>
          <w:p>
            <w:pPr>
              <w:spacing w:after="0"/>
              <w:jc w:val="left"/>
            </w:pPr>
            <w:r>
              <w:rPr>
                <w:rFonts w:ascii="Calibri" w:cs="Calibri" w:eastAsia="Calibri" w:hAnsi="Calibri"/>
                <w:b/>
                <w:bCs/>
                <w:i/>
                <w:iCs/>
                <w:color w:val="595959"/>
                <w:sz w:val="16"/>
                <w:szCs w:val="16"/>
              </w:rPr>
              <w:t xml:space="preserve">Sourcing fournisseurs, commande, transit et dédouanement des composants</w:t>
            </w:r>
          </w:p>
          <w:p>
            <w:pPr>
              <w:spacing w:after="0"/>
              <w:jc w:val="left"/>
            </w:pPr>
            <w:r>
              <w:rPr>
                <w:rFonts w:ascii="Calibri" w:cs="Calibri" w:eastAsia="Calibri" w:hAnsi="Calibri"/>
                <w:b/>
                <w:bCs/>
                <w:i/>
                <w:iCs/>
                <w:color w:val="595959"/>
                <w:sz w:val="16"/>
                <w:szCs w:val="16"/>
              </w:rPr>
              <w:t xml:space="preserve">non disponibles sur le marché local.</w:t>
            </w:r>
          </w:p>
        </w:tc>
        <w:tc>
          <w:tcPr>
            <w:tcW w:type="dxa" w:w="700"/>
            <w:tcMar>
              <w:top w:type="dxa" w:w="60"/>
              <w:left w:type="dxa" w:w="100"/>
              <w:bottom w:type="dxa" w:w="60"/>
              <w:right w:type="dxa" w:w="100"/>
            </w:tcMar>
            <w:vAlign w:val="center"/>
          </w:tcPr>
          <w:p>
            <w:pPr>
              <w:spacing w:after="0"/>
              <w:jc w:val="center"/>
            </w:pPr>
            <w:r>
              <w:rPr>
                <w:rFonts w:ascii="Calibri" w:cs="Calibri" w:eastAsia="Calibri" w:hAnsi="Calibri"/>
                <w:b w:val="false"/>
                <w:bCs w:val="false"/>
                <w:i w:val="false"/>
                <w:iCs w:val="false"/>
                <w:color w:val="000000"/>
                <w:sz w:val="18"/>
                <w:szCs w:val="18"/>
              </w:rPr>
              <w:t xml:space="preserve">1</w:t>
            </w:r>
          </w:p>
        </w:tc>
        <w:tc>
          <w:tcPr>
            <w:tcW w:type="dxa" w:w="1600"/>
            <w:tcMar>
              <w:top w:type="dxa" w:w="60"/>
              <w:left w:type="dxa" w:w="100"/>
              <w:bottom w:type="dxa" w:w="60"/>
              <w:right w:type="dxa" w:w="100"/>
            </w:tcMar>
            <w:vAlign w:val="center"/>
          </w:tcPr>
          <w:p>
            <w:pPr>
              <w:spacing w:after="0"/>
              <w:jc w:val="right"/>
            </w:pPr>
            <w:r>
              <w:rPr>
                <w:rFonts w:ascii="Calibri" w:cs="Calibri" w:eastAsia="Calibri" w:hAnsi="Calibri"/>
                <w:b w:val="false"/>
                <w:bCs w:val="false"/>
                <w:i w:val="false"/>
                <w:iCs w:val="false"/>
                <w:color w:val="000000"/>
                <w:sz w:val="18"/>
                <w:szCs w:val="18"/>
              </w:rPr>
              <w:t xml:space="preserve">85 000</w:t>
            </w:r>
          </w:p>
        </w:tc>
        <w:tc>
          <w:tcPr>
            <w:tcW w:type="dxa" w:w="1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85 000</w:t>
            </w:r>
          </w:p>
        </w:tc>
      </w:tr>
      <w:tr>
        <w:tc>
          <w:tcPr>
            <w:tcW w:type="dxa" w:w="6500"/>
            <w:gridSpan w:val="3"/>
            <w:tcBorders>
              <w:top w:val="none" w:color="FFFFFF" w:sz="0"/>
              <w:left w:val="none" w:color="FFFFFF" w:sz="0"/>
              <w:bottom w:val="none" w:color="FFFFFF" w:sz="0"/>
              <w:right w:val="none" w:color="FFFFFF" w:sz="0"/>
            </w:tcBorders>
          </w:tcPr>
          <w:p>
            <w:pPr>
              <w:spacing w:after="0"/>
            </w:pPr>
          </w:p>
        </w:tc>
        <w:tc>
          <w:tcPr>
            <w:tcW w:type="dxa" w:w="1600"/>
            <w:shd w:fill="FAFAFA"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TOTAL HT</w:t>
            </w:r>
          </w:p>
        </w:tc>
        <w:tc>
          <w:tcPr>
            <w:tcW w:type="dxa" w:w="1800"/>
            <w:shd w:fill="FAFAFA"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705 000</w:t>
            </w:r>
          </w:p>
        </w:tc>
      </w:tr>
      <w:tr>
        <w:tc>
          <w:tcPr>
            <w:tcW w:type="dxa" w:w="6500"/>
            <w:gridSpan w:val="3"/>
            <w:tcBorders>
              <w:top w:val="none" w:color="FFFFFF" w:sz="0"/>
              <w:left w:val="none" w:color="FFFFFF" w:sz="0"/>
              <w:bottom w:val="none" w:color="FFFFFF" w:sz="0"/>
              <w:right w:val="none" w:color="FFFFFF" w:sz="0"/>
            </w:tcBorders>
          </w:tcPr>
          <w:p>
            <w:pPr>
              <w:spacing w:after="0"/>
            </w:pPr>
          </w:p>
        </w:tc>
        <w:tc>
          <w:tcPr>
            <w:tcW w:type="dxa" w:w="1600"/>
            <w:shd w:fill="FAFAFA"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TVA 18 %</w:t>
            </w:r>
          </w:p>
        </w:tc>
        <w:tc>
          <w:tcPr>
            <w:tcW w:type="dxa" w:w="1800"/>
            <w:shd w:fill="FAFAFA"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126 900</w:t>
            </w:r>
          </w:p>
        </w:tc>
      </w:tr>
      <w:tr>
        <w:tc>
          <w:tcPr>
            <w:tcW w:type="dxa" w:w="6500"/>
            <w:gridSpan w:val="3"/>
            <w:tcBorders>
              <w:top w:val="none" w:color="FFFFFF" w:sz="0"/>
              <w:left w:val="none" w:color="FFFFFF" w:sz="0"/>
              <w:bottom w:val="none" w:color="FFFFFF" w:sz="0"/>
              <w:right w:val="none" w:color="FFFFFF" w:sz="0"/>
            </w:tcBorders>
          </w:tcPr>
          <w:p>
            <w:pPr>
              <w:spacing w:after="0"/>
            </w:pPr>
          </w:p>
        </w:tc>
        <w:tc>
          <w:tcPr>
            <w:tcW w:type="dxa" w:w="16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18"/>
                <w:szCs w:val="18"/>
              </w:rPr>
              <w:t xml:space="preserve">TOTAL TTC (FCFA)</w:t>
            </w:r>
          </w:p>
        </w:tc>
        <w:tc>
          <w:tcPr>
            <w:tcW w:type="dxa" w:w="18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22"/>
                <w:szCs w:val="22"/>
              </w:rPr>
              <w:t xml:space="preserve">831 900</w:t>
            </w:r>
          </w:p>
        </w:tc>
      </w:tr>
    </w:tbl>
    <w:p>
      <w:pPr>
        <w:spacing w:after="120"/>
      </w:pPr>
    </w:p>
    <w:p>
      <w:pPr>
        <w:spacing w:after="200" w:before="0"/>
        <w:jc w:val="left"/>
      </w:pPr>
      <w:r>
        <w:rPr>
          <w:rFonts w:ascii="Calibri" w:cs="Calibri" w:eastAsia="Calibri" w:hAnsi="Calibri"/>
          <w:b/>
          <w:bCs/>
          <w:i w:val="false"/>
          <w:iCs w:val="false"/>
          <w:color w:val="C00000"/>
          <w:sz w:val="20"/>
          <w:szCs w:val="20"/>
        </w:rPr>
        <w:t xml:space="preserve">Arrêté le présent devis proforma à la somme de : 831 900 FCFA TTC.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100"/>
        <w:gridCol w:w="2800"/>
      </w:tblGrid>
      <w:tr>
        <w:trPr>
          <w:tblHeader/>
        </w:trPr>
        <w:tc>
          <w:tcPr>
            <w:tcW w:type="dxa" w:w="7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1F3864"/>
                <w:sz w:val="18"/>
                <w:szCs w:val="18"/>
              </w:rPr>
              <w:t xml:space="preserve">Rappel du programme en deux phases</w:t>
            </w:r>
          </w:p>
        </w:tc>
        <w:tc>
          <w:tcPr>
            <w:tcW w:type="dxa" w:w="2800"/>
            <w:shd w:fill="F2F2F2"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1F3864"/>
                <w:sz w:val="18"/>
                <w:szCs w:val="18"/>
              </w:rPr>
              <w:t xml:space="preserve">Montant TTC</w:t>
            </w:r>
          </w:p>
        </w:tc>
      </w:tr>
      <w:tr>
        <w:tc>
          <w:tcPr>
            <w:tcW w:type="dxa" w:w="7100"/>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000000"/>
                <w:sz w:val="18"/>
                <w:szCs w:val="18"/>
              </w:rPr>
              <w:t xml:space="preserve">Phase 1 — Fournitures et composants (PRO-2026-014/A)</w:t>
            </w:r>
          </w:p>
        </w:tc>
        <w:tc>
          <w:tcPr>
            <w:tcW w:type="dxa" w:w="2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831 900</w:t>
            </w:r>
          </w:p>
        </w:tc>
      </w:tr>
      <w:tr>
        <w:tc>
          <w:tcPr>
            <w:tcW w:type="dxa" w:w="7100"/>
            <w:tcMar>
              <w:top w:type="dxa" w:w="60"/>
              <w:left w:type="dxa" w:w="100"/>
              <w:bottom w:type="dxa" w:w="60"/>
              <w:right w:type="dxa" w:w="100"/>
            </w:tcMar>
            <w:vAlign w:val="center"/>
          </w:tcPr>
          <w:p>
            <w:pPr>
              <w:spacing w:after="0"/>
              <w:jc w:val="left"/>
            </w:pPr>
            <w:r>
              <w:rPr>
                <w:rFonts w:ascii="Calibri" w:cs="Calibri" w:eastAsia="Calibri" w:hAnsi="Calibri"/>
                <w:b w:val="false"/>
                <w:bCs w:val="false"/>
                <w:i w:val="false"/>
                <w:iCs w:val="false"/>
                <w:color w:val="000000"/>
                <w:sz w:val="18"/>
                <w:szCs w:val="18"/>
              </w:rPr>
              <w:t xml:space="preserve">Phase 2 — Prestations de remise en état (PRO-2026-014/B)</w:t>
            </w:r>
          </w:p>
        </w:tc>
        <w:tc>
          <w:tcPr>
            <w:tcW w:type="dxa" w:w="28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2 219 580</w:t>
            </w:r>
          </w:p>
        </w:tc>
      </w:tr>
      <w:tr>
        <w:tc>
          <w:tcPr>
            <w:tcW w:type="dxa" w:w="71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FFFFFF"/>
                <w:sz w:val="18"/>
                <w:szCs w:val="18"/>
              </w:rPr>
              <w:t xml:space="preserve">TOTAL DU PROGRAMME</w:t>
            </w:r>
          </w:p>
        </w:tc>
        <w:tc>
          <w:tcPr>
            <w:tcW w:type="dxa" w:w="28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18"/>
                <w:szCs w:val="18"/>
              </w:rPr>
              <w:t xml:space="preserve">3 051 480</w:t>
            </w:r>
          </w:p>
        </w:tc>
      </w:tr>
    </w:tbl>
    <w:p>
      <w:r>
        <w:br w:type="page"/>
      </w:r>
    </w:p>
    <w:p>
      <w:pPr>
        <w:spacing w:after="100" w:before="0"/>
        <w:jc w:val="left"/>
      </w:pPr>
      <w:r>
        <w:rPr>
          <w:rFonts w:ascii="Calibri" w:cs="Calibri" w:eastAsia="Calibri" w:hAnsi="Calibri"/>
          <w:b/>
          <w:bCs/>
          <w:i w:val="false"/>
          <w:iCs w:val="false"/>
          <w:color w:val="1F3864"/>
          <w:sz w:val="20"/>
          <w:szCs w:val="20"/>
        </w:rPr>
        <w:t xml:space="preserve">OPTIONS — FOURNITURES NEUVES</w:t>
      </w:r>
    </w:p>
    <w:p>
      <w:pPr>
        <w:spacing w:after="120" w:before="0"/>
        <w:jc w:val="left"/>
      </w:pPr>
      <w:r>
        <w:rPr>
          <w:rFonts w:ascii="Calibri" w:cs="Calibri" w:eastAsia="Calibri" w:hAnsi="Calibri"/>
          <w:b w:val="false"/>
          <w:bCs w:val="false"/>
          <w:i/>
          <w:iCs/>
          <w:color w:val="000000"/>
          <w:sz w:val="18"/>
          <w:szCs w:val="18"/>
        </w:rPr>
        <w:t xml:space="preserve">Ces montants ne sont pas inclus dans le total. Ils s’appliquent si le diagnostic conclut au caractère irréparable d’un sous-ensemble ; le montant de la réparation correspondante est alors déduit.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0"/>
        <w:gridCol w:w="3400"/>
      </w:tblGrid>
      <w:tr>
        <w:trPr>
          <w:tblHeader/>
        </w:trPr>
        <w:tc>
          <w:tcPr>
            <w:tcW w:type="dxa" w:w="6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i w:val="false"/>
                <w:iCs w:val="false"/>
                <w:color w:val="FFFFFF"/>
                <w:sz w:val="18"/>
                <w:szCs w:val="18"/>
              </w:rPr>
              <w:t xml:space="preserve">Option (non incluse dans le total ci-dessus)</w:t>
            </w:r>
          </w:p>
        </w:tc>
        <w:tc>
          <w:tcPr>
            <w:tcW w:type="dxa" w:w="3400"/>
            <w:shd w:fill="1F3864" w:color="auto" w:val="clear"/>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FFFFFF"/>
                <w:sz w:val="18"/>
                <w:szCs w:val="18"/>
              </w:rPr>
              <w:t xml:space="preserve">Prix HT (FCFA)</w:t>
            </w:r>
          </w:p>
        </w:tc>
      </w:tr>
      <w:tr>
        <w:tc>
          <w:tcPr>
            <w:tcW w:type="dxa" w:w="6500"/>
            <w:tcMar>
              <w:top w:type="dxa" w:w="60"/>
              <w:left w:type="dxa" w:w="100"/>
              <w:bottom w:type="dxa" w:w="60"/>
              <w:right w:type="dxa" w:w="100"/>
            </w:tcMar>
            <w:vAlign w:val="center"/>
          </w:tcPr>
          <w:p>
            <w:pPr>
              <w:spacing w:after="0"/>
              <w:jc w:val="left"/>
            </w:pPr>
            <w:r>
              <w:rPr>
                <w:rFonts w:ascii="Calibri" w:cs="Calibri" w:eastAsia="Calibri" w:hAnsi="Calibri"/>
                <w:b w:val="false"/>
                <w:bCs w:val="false"/>
                <w:i w:val="false"/>
                <w:iCs w:val="false"/>
                <w:color w:val="000000"/>
                <w:sz w:val="18"/>
                <w:szCs w:val="18"/>
              </w:rPr>
              <w:t xml:space="preserve">Carte de commande AOX neuve réf. C1171-M1 — en remplacement de la réparation</w:t>
            </w:r>
          </w:p>
        </w:tc>
        <w:tc>
          <w:tcPr>
            <w:tcW w:type="dxa" w:w="34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1 150 000</w:t>
            </w:r>
          </w:p>
        </w:tc>
      </w:tr>
      <w:tr>
        <w:tc>
          <w:tcPr>
            <w:tcW w:type="dxa" w:w="6500"/>
            <w:tcMar>
              <w:top w:type="dxa" w:w="60"/>
              <w:left w:type="dxa" w:w="100"/>
              <w:bottom w:type="dxa" w:w="60"/>
              <w:right w:type="dxa" w:w="100"/>
            </w:tcMar>
            <w:vAlign w:val="center"/>
          </w:tcPr>
          <w:p>
            <w:pPr>
              <w:spacing w:after="0"/>
              <w:jc w:val="left"/>
            </w:pPr>
            <w:r>
              <w:rPr>
                <w:rFonts w:ascii="Calibri" w:cs="Calibri" w:eastAsia="Calibri" w:hAnsi="Calibri"/>
                <w:b w:val="false"/>
                <w:bCs w:val="false"/>
                <w:i w:val="false"/>
                <w:iCs w:val="false"/>
                <w:color w:val="000000"/>
                <w:sz w:val="18"/>
                <w:szCs w:val="18"/>
              </w:rPr>
              <w:t xml:space="preserve">Transmetteur SIEMENS SITRANS P320 neuf, réf. 7MF03D0-1VE01-5AF2-Z (prix unitaire)</w:t>
            </w:r>
          </w:p>
        </w:tc>
        <w:tc>
          <w:tcPr>
            <w:tcW w:type="dxa" w:w="34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2 350 000</w:t>
            </w:r>
          </w:p>
        </w:tc>
      </w:tr>
      <w:tr>
        <w:tc>
          <w:tcPr>
            <w:tcW w:type="dxa" w:w="6500"/>
            <w:tcMar>
              <w:top w:type="dxa" w:w="60"/>
              <w:left w:type="dxa" w:w="100"/>
              <w:bottom w:type="dxa" w:w="60"/>
              <w:right w:type="dxa" w:w="100"/>
            </w:tcMar>
            <w:vAlign w:val="center"/>
          </w:tcPr>
          <w:p>
            <w:pPr>
              <w:spacing w:after="0"/>
              <w:jc w:val="left"/>
            </w:pPr>
            <w:r>
              <w:rPr>
                <w:rFonts w:ascii="Calibri" w:cs="Calibri" w:eastAsia="Calibri" w:hAnsi="Calibri"/>
                <w:b w:val="false"/>
                <w:bCs w:val="false"/>
                <w:i w:val="false"/>
                <w:iCs w:val="false"/>
                <w:color w:val="000000"/>
                <w:sz w:val="18"/>
                <w:szCs w:val="18"/>
              </w:rPr>
              <w:t xml:space="preserve">Alimentation PULS DIMENSION CP10.481 neuve — en remplacement de la réparation</w:t>
            </w:r>
          </w:p>
        </w:tc>
        <w:tc>
          <w:tcPr>
            <w:tcW w:type="dxa" w:w="3400"/>
            <w:tcMar>
              <w:top w:type="dxa" w:w="60"/>
              <w:left w:type="dxa" w:w="100"/>
              <w:bottom w:type="dxa" w:w="60"/>
              <w:right w:type="dxa" w:w="100"/>
            </w:tcMar>
            <w:vAlign w:val="center"/>
          </w:tcPr>
          <w:p>
            <w:pPr>
              <w:spacing w:after="0"/>
              <w:jc w:val="right"/>
            </w:pPr>
            <w:r>
              <w:rPr>
                <w:rFonts w:ascii="Calibri" w:cs="Calibri" w:eastAsia="Calibri" w:hAnsi="Calibri"/>
                <w:b/>
                <w:bCs/>
                <w:i w:val="false"/>
                <w:iCs w:val="false"/>
                <w:color w:val="000000"/>
                <w:sz w:val="18"/>
                <w:szCs w:val="18"/>
              </w:rPr>
              <w:t xml:space="preserve">395 000</w:t>
            </w:r>
          </w:p>
        </w:tc>
      </w:tr>
    </w:tbl>
    <w:p>
      <w:pPr>
        <w:spacing w:after="260"/>
      </w:pPr>
    </w:p>
    <w:p>
      <w:pPr>
        <w:spacing w:after="100" w:before="0"/>
        <w:jc w:val="left"/>
      </w:pPr>
      <w:r>
        <w:rPr>
          <w:rFonts w:ascii="Calibri" w:cs="Calibri" w:eastAsia="Calibri" w:hAnsi="Calibri"/>
          <w:b/>
          <w:bCs/>
          <w:i w:val="false"/>
          <w:iCs w:val="false"/>
          <w:color w:val="1F3864"/>
          <w:sz w:val="20"/>
          <w:szCs w:val="20"/>
        </w:rPr>
        <w:t xml:space="preserve">CONDITIONS COMMERCIALES ET TECHNIQUES</w:t>
      </w:r>
    </w:p>
    <w:p>
      <w:pPr>
        <w:spacing w:after="90"/>
      </w:pPr>
      <w:r>
        <w:rPr>
          <w:rFonts w:ascii="Calibri" w:cs="Calibri" w:eastAsia="Calibri" w:hAnsi="Calibri"/>
          <w:b/>
          <w:bCs/>
          <w:color w:val="1F3864"/>
          <w:sz w:val="18"/>
          <w:szCs w:val="18"/>
        </w:rPr>
        <w:t xml:space="preserve">Portée du devis : </w:t>
      </w:r>
      <w:r>
        <w:rPr>
          <w:rFonts w:ascii="Calibri" w:cs="Calibri" w:eastAsia="Calibri" w:hAnsi="Calibri"/>
          <w:sz w:val="18"/>
          <w:szCs w:val="18"/>
        </w:rPr>
        <w:t xml:space="preserve">Le présent proforma couvre uniquement les fournitures. Il ne comprend aucune prestation de main d’œuvre, d’essai ou d’étalonnage.</w:t>
      </w:r>
    </w:p>
    <w:p>
      <w:pPr>
        <w:spacing w:after="90"/>
      </w:pPr>
      <w:r>
        <w:rPr>
          <w:rFonts w:ascii="Calibri" w:cs="Calibri" w:eastAsia="Calibri" w:hAnsi="Calibri"/>
          <w:b/>
          <w:bCs/>
          <w:color w:val="1F3864"/>
          <w:sz w:val="18"/>
          <w:szCs w:val="18"/>
        </w:rPr>
        <w:t xml:space="preserve">Validité de l’offre : </w:t>
      </w:r>
      <w:r>
        <w:rPr>
          <w:rFonts w:ascii="Calibri" w:cs="Calibri" w:eastAsia="Calibri" w:hAnsi="Calibri"/>
          <w:sz w:val="18"/>
          <w:szCs w:val="18"/>
        </w:rPr>
        <w:t xml:space="preserve">15 jours. Les composants étant importés, les prix sont indexés sur le cours d’achat au jour de la commande.</w:t>
      </w:r>
    </w:p>
    <w:p>
      <w:pPr>
        <w:spacing w:after="90"/>
      </w:pPr>
      <w:r>
        <w:rPr>
          <w:rFonts w:ascii="Calibri" w:cs="Calibri" w:eastAsia="Calibri" w:hAnsi="Calibri"/>
          <w:b/>
          <w:bCs/>
          <w:color w:val="1F3864"/>
          <w:sz w:val="18"/>
          <w:szCs w:val="18"/>
        </w:rPr>
        <w:t xml:space="preserve">Modalités de paiement : </w:t>
      </w:r>
      <w:r>
        <w:rPr>
          <w:rFonts w:ascii="Calibri" w:cs="Calibri" w:eastAsia="Calibri" w:hAnsi="Calibri"/>
          <w:sz w:val="18"/>
          <w:szCs w:val="18"/>
        </w:rPr>
        <w:t xml:space="preserve">100 % à la commande. Les composants sont approvisionnés spécifiquement pour votre matériel : ils ne sont ni repris ni échangés une fois commandés.</w:t>
      </w:r>
    </w:p>
    <w:p>
      <w:pPr>
        <w:spacing w:after="90"/>
      </w:pPr>
      <w:r>
        <w:rPr>
          <w:rFonts w:ascii="Calibri" w:cs="Calibri" w:eastAsia="Calibri" w:hAnsi="Calibri"/>
          <w:b/>
          <w:bCs/>
          <w:color w:val="1F3864"/>
          <w:sz w:val="18"/>
          <w:szCs w:val="18"/>
        </w:rPr>
        <w:t xml:space="preserve">Délai d’approvisionnement : </w:t>
      </w:r>
      <w:r>
        <w:rPr>
          <w:rFonts w:ascii="Calibri" w:cs="Calibri" w:eastAsia="Calibri" w:hAnsi="Calibri"/>
          <w:sz w:val="18"/>
          <w:szCs w:val="18"/>
        </w:rPr>
        <w:t xml:space="preserve">7 à 21 jours ouvrés selon la disponibilité des références auprès des fournisseurs.</w:t>
      </w:r>
    </w:p>
    <w:p>
      <w:pPr>
        <w:spacing w:after="90"/>
      </w:pPr>
      <w:r>
        <w:rPr>
          <w:rFonts w:ascii="Calibri" w:cs="Calibri" w:eastAsia="Calibri" w:hAnsi="Calibri"/>
          <w:b/>
          <w:bCs/>
          <w:color w:val="1F3864"/>
          <w:sz w:val="18"/>
          <w:szCs w:val="18"/>
        </w:rPr>
        <w:t xml:space="preserve">Garantie : </w:t>
      </w:r>
      <w:r>
        <w:rPr>
          <w:rFonts w:ascii="Calibri" w:cs="Calibri" w:eastAsia="Calibri" w:hAnsi="Calibri"/>
          <w:sz w:val="18"/>
          <w:szCs w:val="18"/>
        </w:rPr>
        <w:t xml:space="preserve">Garantie constructeur des composants fournis. La garantie de fonctionnement de l’ensemble est couverte par le devis de prestations PRO-2026-014/B.</w:t>
      </w:r>
    </w:p>
    <w:p>
      <w:pPr>
        <w:spacing w:after="90"/>
      </w:pPr>
      <w:r>
        <w:rPr>
          <w:rFonts w:ascii="Calibri" w:cs="Calibri" w:eastAsia="Calibri" w:hAnsi="Calibri"/>
          <w:b/>
          <w:bCs/>
          <w:color w:val="1F3864"/>
          <w:sz w:val="18"/>
          <w:szCs w:val="18"/>
        </w:rPr>
        <w:t xml:space="preserve">Suite à donner : </w:t>
      </w:r>
      <w:r>
        <w:rPr>
          <w:rFonts w:ascii="Calibri" w:cs="Calibri" w:eastAsia="Calibri" w:hAnsi="Calibri"/>
          <w:sz w:val="18"/>
          <w:szCs w:val="18"/>
        </w:rPr>
        <w:t xml:space="preserve">Le règlement du présent proforma déclenche l’approvisionnement. Les travaux de remise en état ne débutent qu’après acceptation du devis PRO-2026-014/B.</w:t>
      </w:r>
    </w:p>
    <w:p>
      <w:pPr>
        <w:spacing w:after="90"/>
      </w:pPr>
      <w:r>
        <w:rPr>
          <w:rFonts w:ascii="Calibri" w:cs="Calibri" w:eastAsia="Calibri" w:hAnsi="Calibri"/>
          <w:b/>
          <w:bCs/>
          <w:color w:val="1F3864"/>
          <w:sz w:val="18"/>
          <w:szCs w:val="18"/>
        </w:rPr>
        <w:t xml:space="preserve">Prix : </w:t>
      </w:r>
      <w:r>
        <w:rPr>
          <w:rFonts w:ascii="Calibri" w:cs="Calibri" w:eastAsia="Calibri" w:hAnsi="Calibri"/>
          <w:sz w:val="18"/>
          <w:szCs w:val="18"/>
        </w:rPr>
        <w:t xml:space="preserve">Montants exprimés en francs CFA (XOF), hors taxes, TVA 18 % en sus.</w:t>
      </w:r>
    </w:p>
    <w:p>
      <w:pPr>
        <w:spacing w:after="32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4950"/>
        <w:gridCol w:w="4950"/>
      </w:tblGrid>
      <w:tr>
        <w:tc>
          <w:tcPr>
            <w:tcW w:type="dxa" w:w="4950"/>
            <w:tcBorders>
              <w:top w:val="none" w:color="FFFFFF" w:sz="0"/>
              <w:left w:val="none" w:color="FFFFFF" w:sz="0"/>
              <w:bottom w:val="none" w:color="FFFFFF" w:sz="0"/>
              <w:right w:val="none" w:color="FFFFFF" w:sz="0"/>
            </w:tcBorders>
          </w:tcPr>
          <w:p>
            <w:pPr>
              <w:spacing w:after="60" w:before="0"/>
              <w:jc w:val="left"/>
            </w:pPr>
            <w:r>
              <w:rPr>
                <w:rFonts w:ascii="Calibri" w:cs="Calibri" w:eastAsia="Calibri" w:hAnsi="Calibri"/>
                <w:b/>
                <w:bCs/>
                <w:i w:val="false"/>
                <w:iCs w:val="false"/>
                <w:color w:val="000000"/>
                <w:sz w:val="18"/>
                <w:szCs w:val="18"/>
              </w:rPr>
              <w:t xml:space="preserve">Pour le client — ATINKOU</w:t>
            </w:r>
          </w:p>
          <w:p>
            <w:pPr>
              <w:spacing w:after="700" w:before="0"/>
              <w:jc w:val="left"/>
            </w:pPr>
            <w:r>
              <w:rPr>
                <w:rFonts w:ascii="Calibri" w:cs="Calibri" w:eastAsia="Calibri" w:hAnsi="Calibri"/>
                <w:b w:val="false"/>
                <w:bCs w:val="false"/>
                <w:i/>
                <w:iCs/>
                <w:color w:val="595959"/>
                <w:sz w:val="16"/>
                <w:szCs w:val="16"/>
              </w:rPr>
              <w:t xml:space="preserve">« Bon pour accord », date, cachet et signature</w:t>
            </w:r>
          </w:p>
          <w:p>
            <w:pPr>
              <w:pBdr>
                <w:top w:val="single" w:color="808080" w:sz="6" w:space="4"/>
              </w:pBdr>
              <w:spacing w:after="0"/>
            </w:pPr>
          </w:p>
        </w:tc>
        <w:tc>
          <w:tcPr>
            <w:tcW w:type="dxa" w:w="4950"/>
            <w:tcBorders>
              <w:top w:val="none" w:color="FFFFFF" w:sz="0"/>
              <w:left w:val="none" w:color="FFFFFF" w:sz="0"/>
              <w:bottom w:val="none" w:color="FFFFFF" w:sz="0"/>
              <w:right w:val="none" w:color="FFFFFF" w:sz="0"/>
            </w:tcBorders>
            <w:tcMar>
              <w:left w:type="dxa" w:w="300"/>
            </w:tcMar>
          </w:tcPr>
          <w:p>
            <w:pPr>
              <w:spacing w:after="60" w:before="0"/>
              <w:jc w:val="left"/>
            </w:pPr>
            <w:r>
              <w:rPr>
                <w:rFonts w:ascii="Calibri" w:cs="Calibri" w:eastAsia="Calibri" w:hAnsi="Calibri"/>
                <w:b/>
                <w:bCs/>
                <w:i w:val="false"/>
                <w:iCs w:val="false"/>
                <w:color w:val="000000"/>
                <w:sz w:val="18"/>
                <w:szCs w:val="18"/>
              </w:rPr>
              <w:t xml:space="preserve">Pour [VOTRE SOCIÉTÉ]</w:t>
            </w:r>
          </w:p>
          <w:p>
            <w:pPr>
              <w:spacing w:after="700" w:before="0"/>
              <w:jc w:val="left"/>
            </w:pPr>
            <w:r>
              <w:rPr>
                <w:rFonts w:ascii="Calibri" w:cs="Calibri" w:eastAsia="Calibri" w:hAnsi="Calibri"/>
                <w:b w:val="false"/>
                <w:bCs w:val="false"/>
                <w:i/>
                <w:iCs/>
                <w:color w:val="595959"/>
                <w:sz w:val="16"/>
                <w:szCs w:val="16"/>
              </w:rPr>
              <w:t xml:space="preserve">Le Responsable technique</w:t>
            </w:r>
          </w:p>
          <w:p>
            <w:pPr>
              <w:pBdr>
                <w:top w:val="single" w:color="808080" w:sz="6" w:space="4"/>
              </w:pBdr>
              <w:spacing w:after="0"/>
            </w:pP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Devis proforma PRO-2026-014/A — ATINKOU</dc:title>
  <dc:creator>Board Doctor</dc:creator>
  <cp:lastModifiedBy>Un-named</cp:lastModifiedBy>
  <cp:revision>1</cp:revision>
  <dcterms:created xsi:type="dcterms:W3CDTF">2026-09-14T09:15:32.810Z</dcterms:created>
  <dcterms:modified xsi:type="dcterms:W3CDTF">2026-09-14T09:15:32.824Z</dcterms:modified>
</cp:coreProperties>
</file>

<file path=docProps/custom.xml><?xml version="1.0" encoding="utf-8"?>
<Properties xmlns="http://schemas.openxmlformats.org/officeDocument/2006/custom-properties" xmlns:vt="http://schemas.openxmlformats.org/officeDocument/2006/docPropsVTypes"/>
</file>