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400"/>
        <w:gridCol w:w="4500"/>
      </w:tblGrid>
      <w:tr>
        <w:tc>
          <w:tcPr>
            <w:tcW w:type="dxa" w:w="5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26"/>
                <w:szCs w:val="26"/>
              </w:rPr>
              <w:t xml:space="preserve">[VOTRE SOCIÉTÉ]</w:t>
            </w:r>
          </w:p>
          <w:p>
            <w:pPr>
              <w:spacing w:after="6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95959"/>
                <w:sz w:val="17"/>
                <w:szCs w:val="17"/>
              </w:rPr>
              <w:t xml:space="preserve">Maintenance électronique et instrumentation industrielle</w:t>
            </w:r>
          </w:p>
          <w:p>
            <w:pPr>
              <w:spacing w:after="6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[Adresse — Zone industrielle, Abidjan]</w:t>
            </w:r>
          </w:p>
          <w:p>
            <w:pPr>
              <w:spacing w:after="6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Tél. : [+225 XX XX XX XX XX]</w:t>
            </w:r>
          </w:p>
          <w:p>
            <w:pPr>
              <w:spacing w:after="6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E-mail : thortechnologie@gmail.com</w:t>
            </w:r>
          </w:p>
          <w:p>
            <w:pPr>
              <w:spacing w:after="6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RCCM : [N°] — CC : [N° Compte Contribuable]</w:t>
            </w:r>
          </w:p>
        </w:tc>
        <w:tc>
          <w:tcPr>
            <w:tcW w:type="dxa" w:w="4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AFA" w:color="auto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6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6"/>
                <w:szCs w:val="16"/>
              </w:rPr>
              <w:t xml:space="preserve">CLIENT</w:t>
            </w:r>
          </w:p>
          <w:p>
            <w:pPr>
              <w:spacing w:after="6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ATINKOU</w:t>
            </w:r>
          </w:p>
          <w:p>
            <w:pPr>
              <w:spacing w:after="6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[Centrale thermique — Jacqueville, Côte d’Ivoire]</w:t>
            </w:r>
          </w:p>
          <w:p>
            <w:pPr>
              <w:spacing w:after="6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À l’attention de : [Nom du destinataire]</w:t>
            </w:r>
          </w:p>
          <w:p>
            <w:pPr>
              <w:spacing w:after="6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7"/>
                <w:szCs w:val="17"/>
              </w:rPr>
              <w:t xml:space="preserve">Service : Maintenance / Instrumentation</w:t>
            </w:r>
          </w:p>
        </w:tc>
      </w:tr>
    </w:tbl>
    <w:p>
      <w:pPr>
        <w:spacing w:after="200"/>
      </w:pPr>
    </w:p>
    <w:p>
      <w:pPr>
        <w:pBdr>
          <w:bottom w:val="single" w:color="1F3864" w:sz="12" w:space="6"/>
        </w:pBdr>
        <w:spacing w:after="40"/>
        <w:jc w:val="center"/>
      </w:pPr>
      <w:r>
        <w:rPr>
          <w:rFonts w:ascii="Calibri" w:cs="Calibri" w:eastAsia="Calibri" w:hAnsi="Calibri"/>
          <w:b/>
          <w:bCs/>
          <w:color w:val="1F3864"/>
          <w:sz w:val="34"/>
          <w:szCs w:val="34"/>
        </w:rPr>
        <w:t xml:space="preserve">DEVIS PROFORMA</w:t>
      </w:r>
    </w:p>
    <w:p>
      <w:pPr>
        <w:spacing w:after="30"/>
        <w:jc w:val="center"/>
      </w:pPr>
      <w:r>
        <w:rPr>
          <w:rFonts w:ascii="Calibri" w:cs="Calibri" w:eastAsia="Calibri" w:hAnsi="Calibri"/>
          <w:b/>
          <w:bCs/>
          <w:color w:val="C00000"/>
          <w:sz w:val="20"/>
          <w:szCs w:val="20"/>
        </w:rPr>
        <w:t xml:space="preserve">PHASE 2 — PRESTATIONS DE REMISE EN ÉTAT</w:t>
      </w:r>
    </w:p>
    <w:p>
      <w:pPr>
        <w:spacing w:after="180"/>
        <w:jc w:val="center"/>
      </w:pPr>
      <w:r>
        <w:rPr>
          <w:rFonts w:ascii="Calibri" w:cs="Calibri" w:eastAsia="Calibri" w:hAnsi="Calibri"/>
          <w:color w:val="595959"/>
          <w:sz w:val="18"/>
          <w:szCs w:val="18"/>
        </w:rPr>
        <w:t xml:space="preserve">N° PRO-2026-014/B   ·   Abidjan, le 14 septembre 2026   ·   Validité : voir conditions</w:t>
      </w:r>
    </w:p>
    <w:p>
      <w:pPr>
        <w:spacing w:after="80" w:before="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0"/>
          <w:szCs w:val="20"/>
        </w:rPr>
        <w:t xml:space="preserve">OBJET : Dépannage, remise en état et remise en service des équipements d’instrumentation et de robinetterie motorisée</w:t>
      </w:r>
    </w:p>
    <w:p>
      <w:pPr>
        <w:spacing w:after="200" w:before="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19"/>
          <w:szCs w:val="19"/>
        </w:rPr>
        <w:t xml:space="preserve">Le présent document couvre la main d’œuvre, les essais et l’étalonnage nécessaires à la remise en service des équipements qui nous ont été confiés. Les composants et consommables font l’objet du devis PRO-2026-014/A et ne sont pas refacturés ici. Les travaux débutent après réception des fournitures de la phase 1.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700"/>
        <w:gridCol w:w="1600"/>
        <w:gridCol w:w="1800"/>
      </w:tblGrid>
      <w:tr>
        <w:trPr>
          <w:tblHeader/>
        </w:trPr>
        <w:tc>
          <w:tcPr>
            <w:tcW w:type="dxa" w:w="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N°</w:t>
            </w:r>
          </w:p>
        </w:tc>
        <w:tc>
          <w:tcPr>
            <w:tcW w:type="dxa" w:w="5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Désignation</w:t>
            </w:r>
          </w:p>
        </w:tc>
        <w:tc>
          <w:tcPr>
            <w:tcW w:type="dxa" w:w="7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Qté</w:t>
            </w:r>
          </w:p>
        </w:tc>
        <w:tc>
          <w:tcPr>
            <w:tcW w:type="dxa" w:w="1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P.U. HT</w:t>
            </w:r>
          </w:p>
        </w:tc>
        <w:tc>
          <w:tcPr>
            <w:tcW w:type="dxa" w:w="18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Montant HT</w:t>
            </w:r>
          </w:p>
        </w:tc>
      </w:tr>
      <w:tr>
        <w:tc>
          <w:tcPr>
            <w:tcW w:type="dxa" w:w="9900"/>
            <w:gridSpan w:val="5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A — MAIN D’ŒUVRE DE REMISE EN ÉTAT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Carte de commande actionneur AOX-M-060 réf. C1171-M1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595959"/>
                <w:sz w:val="16"/>
                <w:szCs w:val="16"/>
              </w:rPr>
              <w:t xml:space="preserve">Code câblage M-280-10 · 400 V AC · 400-540 Nm · 67 tr/min · IP67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595959"/>
                <w:sz w:val="16"/>
                <w:szCs w:val="16"/>
              </w:rPr>
              <w:t xml:space="preserve">Dépose et diagnostic sur banc, remplacement des relais de puissance et du bloc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595959"/>
                <w:sz w:val="16"/>
                <w:szCs w:val="16"/>
              </w:rPr>
              <w:t xml:space="preserve">contacteur, contrôle des alimentations 24 V / 5 V, reprise des soudures,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595959"/>
                <w:sz w:val="16"/>
                <w:szCs w:val="16"/>
              </w:rPr>
              <w:t xml:space="preserve">tropicalisation, remontage et essais de manœuvre en charge.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350 000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350 000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Transmetteurs de pression SIEMENS SITRANS P320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595959"/>
                <w:sz w:val="16"/>
                <w:szCs w:val="16"/>
              </w:rPr>
              <w:t xml:space="preserve">Réf. 7MF03D0-1VE01-5AF2-Z · 4-20 mA HART · 10,5-45 V DC · IP66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595959"/>
                <w:sz w:val="16"/>
                <w:szCs w:val="16"/>
              </w:rPr>
              <w:t xml:space="preserve">Diagnostic électronique, remise en état, contrôle d’étanchéité de la cellule,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595959"/>
                <w:sz w:val="16"/>
                <w:szCs w:val="16"/>
              </w:rPr>
              <w:t xml:space="preserve">réétalonnage 5 points et certificat de vérification raccordé étalon.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595959"/>
                <w:sz w:val="16"/>
                <w:szCs w:val="16"/>
              </w:rPr>
              <w:t xml:space="preserve">Prestation appliquée à chacun des trois transmetteurs confiés.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350 000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1 050 000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Positionneur de vanne ROTORK YTC YT-200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595959"/>
                <w:sz w:val="16"/>
                <w:szCs w:val="16"/>
              </w:rPr>
              <w:t xml:space="preserve">Démontage et nettoyage du bloc pneumatique, pose du kit joints et du relais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595959"/>
                <w:sz w:val="16"/>
                <w:szCs w:val="16"/>
              </w:rPr>
              <w:t xml:space="preserve">pilote, réglage de la course, calibration du signal 4-20 mA,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595959"/>
                <w:sz w:val="16"/>
                <w:szCs w:val="16"/>
              </w:rPr>
              <w:t xml:space="preserve">essais de réponse et de linéarité sur banc.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180 000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180 000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Alimentation PULS DIMENSION CP10.481 (repère -FA1)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595959"/>
                <w:sz w:val="16"/>
                <w:szCs w:val="16"/>
              </w:rPr>
              <w:t xml:space="preserve">48 V DC / 5,4 A · entrée 100-240 V AC · contact DC-ok 13/14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595959"/>
                <w:sz w:val="16"/>
                <w:szCs w:val="16"/>
              </w:rPr>
              <w:t xml:space="preserve">Réparation des étages primaire et secondaire, remplacement des condensateurs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595959"/>
                <w:sz w:val="16"/>
                <w:szCs w:val="16"/>
              </w:rPr>
              <w:t xml:space="preserve">et du circuit de commutation, essais en charge sur 8 heures.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130 000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130 000</w:t>
            </w:r>
          </w:p>
        </w:tc>
      </w:tr>
      <w:tr>
        <w:tc>
          <w:tcPr>
            <w:tcW w:type="dxa" w:w="9900"/>
            <w:gridSpan w:val="5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18"/>
                <w:szCs w:val="18"/>
              </w:rPr>
              <w:t xml:space="preserve">B — ESSAIS ET DOCUMENTATION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Essais de validation sur banc et rapport de test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595959"/>
                <w:sz w:val="16"/>
                <w:szCs w:val="16"/>
              </w:rPr>
              <w:t xml:space="preserve">Par équipement, avant restitution. Six unités concernées.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35 000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210 000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5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Dossier technique de fin d’intervention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595959"/>
                <w:sz w:val="16"/>
                <w:szCs w:val="16"/>
              </w:rPr>
              <w:t xml:space="preserve">Rapport de diagnostic, relevés de mesures et certificats d’étalonnage</w:t>
            </w:r>
          </w:p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595959"/>
                <w:sz w:val="16"/>
                <w:szCs w:val="16"/>
              </w:rPr>
              <w:t xml:space="preserve">(remis au format PDF et en copie papier).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60 000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60 000</w:t>
            </w:r>
          </w:p>
        </w:tc>
      </w:tr>
      <w:tr>
        <w:tc>
          <w:tcPr>
            <w:tcW w:type="dxa" w:w="6500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</w:p>
        </w:tc>
        <w:tc>
          <w:tcPr>
            <w:tcW w:type="dxa" w:w="1600"/>
            <w:shd w:fill="FAFA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TOTAL HT</w:t>
            </w:r>
          </w:p>
        </w:tc>
        <w:tc>
          <w:tcPr>
            <w:tcW w:type="dxa" w:w="1800"/>
            <w:shd w:fill="FAFA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1 980 000</w:t>
            </w:r>
          </w:p>
        </w:tc>
      </w:tr>
      <w:tr>
        <w:tc>
          <w:tcPr>
            <w:tcW w:type="dxa" w:w="6500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</w:p>
        </w:tc>
        <w:tc>
          <w:tcPr>
            <w:tcW w:type="dxa" w:w="1600"/>
            <w:shd w:fill="FAFA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Remise commerciale 5 %</w:t>
            </w:r>
          </w:p>
        </w:tc>
        <w:tc>
          <w:tcPr>
            <w:tcW w:type="dxa" w:w="1800"/>
            <w:shd w:fill="FAFA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- 99 000</w:t>
            </w:r>
          </w:p>
        </w:tc>
      </w:tr>
      <w:tr>
        <w:tc>
          <w:tcPr>
            <w:tcW w:type="dxa" w:w="6500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</w:p>
        </w:tc>
        <w:tc>
          <w:tcPr>
            <w:tcW w:type="dxa" w:w="1600"/>
            <w:shd w:fill="FAFA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NET HT</w:t>
            </w:r>
          </w:p>
        </w:tc>
        <w:tc>
          <w:tcPr>
            <w:tcW w:type="dxa" w:w="1800"/>
            <w:shd w:fill="FAFA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1 881 000</w:t>
            </w:r>
          </w:p>
        </w:tc>
      </w:tr>
      <w:tr>
        <w:tc>
          <w:tcPr>
            <w:tcW w:type="dxa" w:w="6500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</w:p>
        </w:tc>
        <w:tc>
          <w:tcPr>
            <w:tcW w:type="dxa" w:w="1600"/>
            <w:shd w:fill="FAFA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TVA 18 %</w:t>
            </w:r>
          </w:p>
        </w:tc>
        <w:tc>
          <w:tcPr>
            <w:tcW w:type="dxa" w:w="1800"/>
            <w:shd w:fill="FAFA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338 580</w:t>
            </w:r>
          </w:p>
        </w:tc>
      </w:tr>
      <w:tr>
        <w:tc>
          <w:tcPr>
            <w:tcW w:type="dxa" w:w="6500"/>
            <w:gridSpan w:val="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</w:p>
        </w:tc>
        <w:tc>
          <w:tcPr>
            <w:tcW w:type="dxa" w:w="1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TOTAL TTC (FCFA)</w:t>
            </w:r>
          </w:p>
        </w:tc>
        <w:tc>
          <w:tcPr>
            <w:tcW w:type="dxa" w:w="18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2"/>
                <w:szCs w:val="22"/>
              </w:rPr>
              <w:t xml:space="preserve">2 219 580</w:t>
            </w:r>
          </w:p>
        </w:tc>
      </w:tr>
    </w:tbl>
    <w:p>
      <w:pPr>
        <w:spacing w:after="120"/>
      </w:pPr>
    </w:p>
    <w:p>
      <w:pPr>
        <w:spacing w:after="200" w:before="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C00000"/>
          <w:sz w:val="20"/>
          <w:szCs w:val="20"/>
        </w:rPr>
        <w:t xml:space="preserve">Arrêté le présent devis proforma à la somme de : 2 219 580 FCFA TTC.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100"/>
        <w:gridCol w:w="2800"/>
      </w:tblGrid>
      <w:tr>
        <w:trPr>
          <w:tblHeader/>
        </w:trPr>
        <w:tc>
          <w:tcPr>
            <w:tcW w:type="dxa" w:w="71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8"/>
                <w:szCs w:val="18"/>
              </w:rPr>
              <w:t xml:space="preserve">Rappel du programme en deux phases</w:t>
            </w:r>
          </w:p>
        </w:tc>
        <w:tc>
          <w:tcPr>
            <w:tcW w:type="dxa" w:w="28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F3864"/>
                <w:sz w:val="18"/>
                <w:szCs w:val="18"/>
              </w:rPr>
              <w:t xml:space="preserve">Montant TTC</w:t>
            </w:r>
          </w:p>
        </w:tc>
      </w:tr>
      <w:tr>
        <w:tc>
          <w:tcPr>
            <w:tcW w:type="dxa" w:w="7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Phase 1 — Fournitures et composants (PRO-2026-014/A)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831 900</w:t>
            </w:r>
          </w:p>
        </w:tc>
      </w:tr>
      <w:tr>
        <w:tc>
          <w:tcPr>
            <w:tcW w:type="dxa" w:w="7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Phase 2 — Prestations de remise en état (PRO-2026-014/B)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2 219 580</w:t>
            </w:r>
          </w:p>
        </w:tc>
      </w:tr>
      <w:tr>
        <w:tc>
          <w:tcPr>
            <w:tcW w:type="dxa" w:w="71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TOTAL DU PROGRAMME</w:t>
            </w:r>
          </w:p>
        </w:tc>
        <w:tc>
          <w:tcPr>
            <w:tcW w:type="dxa" w:w="28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3 051 480</w:t>
            </w:r>
          </w:p>
        </w:tc>
      </w:tr>
    </w:tbl>
    <w:p>
      <w:r>
        <w:br w:type="page"/>
      </w:r>
    </w:p>
    <w:p>
      <w:pPr>
        <w:spacing w:after="100" w:before="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0"/>
          <w:szCs w:val="20"/>
        </w:rPr>
        <w:t xml:space="preserve">OPTIONS — PRESTATIONS COMPLÉMENTAIRES</w:t>
      </w:r>
    </w:p>
    <w:p>
      <w:pPr>
        <w:spacing w:after="120" w:before="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000000"/>
          <w:sz w:val="18"/>
          <w:szCs w:val="18"/>
        </w:rPr>
        <w:t xml:space="preserve">Ces montants ne sont pas inclus dans le total et ne seront engagés qu’après votre accord écrit.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0"/>
        <w:gridCol w:w="3400"/>
      </w:tblGrid>
      <w:tr>
        <w:trPr>
          <w:tblHeader/>
        </w:trPr>
        <w:tc>
          <w:tcPr>
            <w:tcW w:type="dxa" w:w="65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Option (non incluse dans le total ci-dessus)</w:t>
            </w:r>
          </w:p>
        </w:tc>
        <w:tc>
          <w:tcPr>
            <w:tcW w:type="dxa" w:w="3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Prix HT (FCFA)</w:t>
            </w:r>
          </w:p>
        </w:tc>
      </w:tr>
      <w:tr>
        <w:tc>
          <w:tcPr>
            <w:tcW w:type="dxa" w:w="6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Contrat de maintenance préventive annuelle — 2 visites sur site (instrumentation et actionneurs)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1 800 000</w:t>
            </w:r>
          </w:p>
        </w:tc>
      </w:tr>
      <w:tr>
        <w:tc>
          <w:tcPr>
            <w:tcW w:type="dxa" w:w="6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8"/>
                <w:szCs w:val="18"/>
              </w:rPr>
              <w:t xml:space="preserve">Intervention de remise en service sur site, par journée technicien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185 000</w:t>
            </w:r>
          </w:p>
        </w:tc>
      </w:tr>
    </w:tbl>
    <w:p>
      <w:pPr>
        <w:spacing w:after="260"/>
      </w:pPr>
    </w:p>
    <w:p>
      <w:pPr>
        <w:spacing w:after="100" w:before="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0"/>
          <w:szCs w:val="20"/>
        </w:rPr>
        <w:t xml:space="preserve">CONDITIONS COMMERCIALES ET TECHNIQUES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Portée du devis : </w:t>
      </w:r>
      <w:r>
        <w:rPr>
          <w:rFonts w:ascii="Calibri" w:cs="Calibri" w:eastAsia="Calibri" w:hAnsi="Calibri"/>
          <w:sz w:val="18"/>
          <w:szCs w:val="18"/>
        </w:rPr>
        <w:t xml:space="preserve">Le présent proforma couvre uniquement la main d’œuvre, les essais et l’étalonnage. Les composants et consommables sont facturés au devis PRO-2026-014/A.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Prérequis : </w:t>
      </w:r>
      <w:r>
        <w:rPr>
          <w:rFonts w:ascii="Calibri" w:cs="Calibri" w:eastAsia="Calibri" w:hAnsi="Calibri"/>
          <w:sz w:val="18"/>
          <w:szCs w:val="18"/>
        </w:rPr>
        <w:t xml:space="preserve">L’exécution des travaux est conditionnée au règlement du devis PRO-2026-014/A et à la réception effective des composants approvisionnés.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Validité de l’offre : </w:t>
      </w:r>
      <w:r>
        <w:rPr>
          <w:rFonts w:ascii="Calibri" w:cs="Calibri" w:eastAsia="Calibri" w:hAnsi="Calibri"/>
          <w:sz w:val="18"/>
          <w:szCs w:val="18"/>
        </w:rPr>
        <w:t xml:space="preserve">30 jours à compter de la date d’émission.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Délai d’exécution : </w:t>
      </w:r>
      <w:r>
        <w:rPr>
          <w:rFonts w:ascii="Calibri" w:cs="Calibri" w:eastAsia="Calibri" w:hAnsi="Calibri"/>
          <w:sz w:val="18"/>
          <w:szCs w:val="18"/>
        </w:rPr>
        <w:t xml:space="preserve">10 jours ouvrés à compter de la réception des fournitures de la phase 1.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Modalités de paiement : </w:t>
      </w:r>
      <w:r>
        <w:rPr>
          <w:rFonts w:ascii="Calibri" w:cs="Calibri" w:eastAsia="Calibri" w:hAnsi="Calibri"/>
          <w:sz w:val="18"/>
          <w:szCs w:val="18"/>
        </w:rPr>
        <w:t xml:space="preserve">100 % à la restitution du matériel, par virement bancaire. Coordonnées bancaires : [Banque — IBAN / N° de compte].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Garantie : </w:t>
      </w:r>
      <w:r>
        <w:rPr>
          <w:rFonts w:ascii="Calibri" w:cs="Calibri" w:eastAsia="Calibri" w:hAnsi="Calibri"/>
          <w:sz w:val="18"/>
          <w:szCs w:val="18"/>
        </w:rPr>
        <w:t xml:space="preserve">3 mois sur les prestations de réparation, à compter de la date de restitution. La garantie ne couvre pas les dommages consécutifs à une surtension, une infiltration d’eau ou une intervention d’un tiers.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Pièces non réparables : </w:t>
      </w:r>
      <w:r>
        <w:rPr>
          <w:rFonts w:ascii="Calibri" w:cs="Calibri" w:eastAsia="Calibri" w:hAnsi="Calibri"/>
          <w:sz w:val="18"/>
          <w:szCs w:val="18"/>
        </w:rPr>
        <w:t xml:space="preserve">Tout composant jugé irréparable en cours de travaux fait l’objet d’un avenant chiffré soumis à votre accord préalable.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Logistique : </w:t>
      </w:r>
      <w:r>
        <w:rPr>
          <w:rFonts w:ascii="Calibri" w:cs="Calibri" w:eastAsia="Calibri" w:hAnsi="Calibri"/>
          <w:sz w:val="18"/>
          <w:szCs w:val="18"/>
        </w:rPr>
        <w:t xml:space="preserve">L’enlèvement et la restitution du matériel sont à la charge du client.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Prix : </w:t>
      </w:r>
      <w:r>
        <w:rPr>
          <w:rFonts w:ascii="Calibri" w:cs="Calibri" w:eastAsia="Calibri" w:hAnsi="Calibri"/>
          <w:sz w:val="18"/>
          <w:szCs w:val="18"/>
        </w:rPr>
        <w:t xml:space="preserve">Montants exprimés en francs CFA (XOF), hors taxes, TVA 18 % en sus.</w:t>
      </w:r>
    </w:p>
    <w:p>
      <w:pPr>
        <w:spacing w:after="320"/>
      </w:pPr>
    </w:p>
    <w:tbl>
      <w:tblPr>
        <w:tblW w:type="dxa" w:w="99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50"/>
        <w:gridCol w:w="4950"/>
      </w:tblGrid>
      <w:tr>
        <w:tc>
          <w:tcPr>
            <w:tcW w:type="dxa" w:w="4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Pour le client — ATINKOU</w:t>
            </w:r>
          </w:p>
          <w:p>
            <w:pPr>
              <w:spacing w:after="70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« Bon pour accord », date, cachet et signature</w:t>
            </w:r>
          </w:p>
          <w:p>
            <w:pPr>
              <w:pBdr>
                <w:top w:val="single" w:color="808080" w:sz="6" w:space="4"/>
              </w:pBdr>
              <w:spacing w:after="0"/>
            </w:pPr>
          </w:p>
        </w:tc>
        <w:tc>
          <w:tcPr>
            <w:tcW w:type="dxa" w:w="4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300"/>
            </w:tcMar>
          </w:tcPr>
          <w:p>
            <w:pPr>
              <w:spacing w:after="6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Pour [VOTRE SOCIÉTÉ]</w:t>
            </w:r>
          </w:p>
          <w:p>
            <w:pPr>
              <w:spacing w:after="70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595959"/>
                <w:sz w:val="16"/>
                <w:szCs w:val="16"/>
              </w:rPr>
              <w:t xml:space="preserve">Le Responsable technique</w:t>
            </w:r>
          </w:p>
          <w:p>
            <w:pPr>
              <w:pBdr>
                <w:top w:val="single" w:color="808080" w:sz="6" w:space="4"/>
              </w:pBdr>
              <w:spacing w:after="0"/>
            </w:pPr>
          </w:p>
        </w:tc>
      </w:tr>
    </w:tbl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Devis proforma PRO-2026-014/B — ATINKOU</dc:title>
  <dc:creator>Board Doctor</dc:creator>
  <cp:lastModifiedBy>Un-named</cp:lastModifiedBy>
  <cp:revision>1</cp:revision>
  <dcterms:created xsi:type="dcterms:W3CDTF">2026-09-14T09:15:32.909Z</dcterms:created>
  <dcterms:modified xsi:type="dcterms:W3CDTF">2026-09-14T09:15:32.909Z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