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45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[VOTRE SOCIÉTÉ]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Maintenance électronique et instrumentation industrielle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[Adresse — Zone industrielle, Abidjan]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Tél. : [+225 XX XX XX XX XX]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E-mail : thortechnologie@gmail.com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RCCM : [N°] — CC : [N° Compte Contribuable]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CLIENT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ATINKOU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[Centrale thermique — Jacqueville, Côte d’Ivoire]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À l’attention de : [Nom du destinataire]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Service : Maintenance / Instrumentation</w:t>
            </w:r>
          </w:p>
        </w:tc>
      </w:tr>
    </w:tbl>
    <w:p>
      <w:pPr>
        <w:spacing w:after="200"/>
      </w:pPr>
    </w:p>
    <w:p>
      <w:pPr>
        <w:pBdr>
          <w:bottom w:val="single" w:color="1F3864" w:sz="12" w:space="6"/>
        </w:pBd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DEVIS PROFORMA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PHASE 2 — PRESTATIONS DE REMISE EN ÉTAT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N° PRO-2026-014/B   ·   Abidjan, le 14 septembre 2026   ·   Validité : voir conditions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OBJET : Dépannage, remise en état et remise en service des équipements d’instrumentation et de robinetterie motorisée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Le présent document couvre la main d’œuvre, les essais et l’étalonnage nécessaires à la remise en service des équipements qui nous ont été confiés. Les composants et consommables font l’objet du devis PRO-2026-014/A et ne sont pas refacturés ici. Les travaux débutent après réception des fournitures de la phase 1.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700"/>
        <w:gridCol w:w="1600"/>
        <w:gridCol w:w="18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5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Désignation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Qté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P.U.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Montant</w:t>
            </w:r>
          </w:p>
        </w:tc>
      </w:tr>
      <w:tr>
        <w:tc>
          <w:tcPr>
            <w:tcW w:type="dxa" w:w="9900"/>
            <w:gridSpan w:val="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 — MAIN D’ŒUVRE DE REMISE EN ÉTAT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Carte de commande actionneur AOX-M-060 réf. C1171-M1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Code câblage M-280-10 · 400 V AC · 400-540 Nm · 67 tr/min · IP67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Dépose et diagnostic sur banc, remplacement des relais de puissance et du bloc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contacteur, contrôle des alimentations 24 V / 5 V, reprise des soudures,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tropicalisation, remontage et essais de manœuvre en charge.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350 000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350 000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Transmetteurs de pression SIEMENS SITRANS P320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Réf. 7MF03D0-1VE01-5AF2-Z · 4-20 mA HART · 10,5-45 V DC · IP66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Diagnostic électronique, remise en état, contrôle d’étanchéité de la cellule,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réétalonnage 5 points et certificat de vérification raccordé étalon.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Prestation appliquée à chacun des trois transmetteurs confiés.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350 000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1 050 000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Positionneur de vanne ROTORK YTC YT-200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Démontage et nettoyage du bloc pneumatique, pose du kit joints et du relais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pilote, réglage de la course, calibration du signal 4-20 mA,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essais de réponse et de linéarité sur banc.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180 000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180 000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Alimentation PULS DIMENSION CP10.481 (repère -FA1)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48 V DC / 5,4 A · entrée 100-240 V AC · contact DC-ok 13/14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Réparation des étages primaire et secondaire, remplacement des condensateurs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et du circuit de commutation, essais en charge sur 8 heures.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130 000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130 000</w:t>
            </w:r>
          </w:p>
        </w:tc>
      </w:tr>
      <w:tr>
        <w:tc>
          <w:tcPr>
            <w:tcW w:type="dxa" w:w="9900"/>
            <w:gridSpan w:val="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 — ESSAIS ET DOCUMENTATION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Essais de validation sur banc et rapport de test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Par équipement, avant restitution. Six unités concernées.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35 000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210 000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Dossier technique de fin d’intervention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Rapport de diagnostic, relevés de mesures et certificats d’étalonnage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(remis au format PDF et en copie papier).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60 000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60 000</w:t>
            </w:r>
          </w:p>
        </w:tc>
      </w:tr>
      <w:tr>
        <w:tc>
          <w:tcPr>
            <w:tcW w:type="dxa" w:w="65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600"/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1 980 000</w:t>
            </w:r>
          </w:p>
        </w:tc>
      </w:tr>
      <w:tr>
        <w:tc>
          <w:tcPr>
            <w:tcW w:type="dxa" w:w="65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600"/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Remise commerciale 5 %</w:t>
            </w:r>
          </w:p>
        </w:tc>
        <w:tc>
          <w:tcPr>
            <w:tcW w:type="dxa" w:w="1800"/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- 99 000</w:t>
            </w:r>
          </w:p>
        </w:tc>
      </w:tr>
      <w:tr>
        <w:tc>
          <w:tcPr>
            <w:tcW w:type="dxa" w:w="65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À PAYER (FCFA)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1 881 000</w:t>
            </w:r>
          </w:p>
        </w:tc>
      </w:tr>
    </w:tbl>
    <w:p>
      <w:pPr>
        <w:spacing w:after="120"/>
      </w:pPr>
    </w:p>
    <w:p>
      <w:pPr>
        <w:spacing w:after="2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Arrêté le présent devis proforma à la somme de : 1 881 000 FCFA.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0"/>
        <w:gridCol w:w="2800"/>
      </w:tblGrid>
      <w:tr>
        <w:trPr>
          <w:tblHeader/>
        </w:trPr>
        <w:tc>
          <w:tcPr>
            <w:tcW w:type="dxa" w:w="7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Rappel du programme en deux phases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Montant</w:t>
            </w:r>
          </w:p>
        </w:tc>
      </w:tr>
      <w:tr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 — Fournitures et composants (PRO-2026-014/A)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610 000</w:t>
            </w:r>
          </w:p>
        </w:tc>
      </w:tr>
      <w:tr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Phase 2 — Prestations de remise en état (PRO-2026-014/B)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1 881 000</w:t>
            </w:r>
          </w:p>
        </w:tc>
      </w:tr>
      <w:tr>
        <w:tc>
          <w:tcPr>
            <w:tcW w:type="dxa" w:w="7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DU PROGRAMME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2 491 000</w:t>
            </w:r>
          </w:p>
        </w:tc>
      </w:tr>
    </w:tbl>
    <w:p>
      <w:r>
        <w:br w:type="pag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OPTIONS — PRESTATIONS COMPLÉMENTAIRES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18"/>
          <w:szCs w:val="18"/>
        </w:rPr>
        <w:t xml:space="preserve">Ces montants ne sont pas inclus dans le total et ne seront engagés qu’après votre accord écrit.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400"/>
      </w:tblGrid>
      <w:tr>
        <w:trPr>
          <w:tblHeader/>
        </w:trPr>
        <w:tc>
          <w:tcPr>
            <w:tcW w:type="dxa" w:w="6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Option (non incluse dans le total ci-dessus)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Prix (FCFA)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Contrat de maintenance préventive annuelle — 2 visites sur site (instrumentation et actionneurs)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1 800 000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Intervention de remise en service sur site, par journée technicien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185 000</w:t>
            </w:r>
          </w:p>
        </w:tc>
      </w:tr>
    </w:tbl>
    <w:p>
      <w:pPr>
        <w:spacing w:after="260"/>
      </w:pP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CONDITIONS COMMERCIALES ET TECHNIQUES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Portée du devis : </w:t>
      </w:r>
      <w:r>
        <w:rPr>
          <w:rFonts w:ascii="Calibri" w:cs="Calibri" w:eastAsia="Calibri" w:hAnsi="Calibri"/>
          <w:sz w:val="18"/>
          <w:szCs w:val="18"/>
        </w:rPr>
        <w:t xml:space="preserve">Le présent proforma couvre uniquement la main d’œuvre, les essais et l’étalonnage. Les composants et consommables sont facturés au devis PRO-2026-014/A.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Prérequis : </w:t>
      </w:r>
      <w:r>
        <w:rPr>
          <w:rFonts w:ascii="Calibri" w:cs="Calibri" w:eastAsia="Calibri" w:hAnsi="Calibri"/>
          <w:sz w:val="18"/>
          <w:szCs w:val="18"/>
        </w:rPr>
        <w:t xml:space="preserve">L’exécution des travaux est conditionnée au règlement du devis PRO-2026-014/A et à la réception effective des composants approvisionnés.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Validité de l’offre : </w:t>
      </w:r>
      <w:r>
        <w:rPr>
          <w:rFonts w:ascii="Calibri" w:cs="Calibri" w:eastAsia="Calibri" w:hAnsi="Calibri"/>
          <w:sz w:val="18"/>
          <w:szCs w:val="18"/>
        </w:rPr>
        <w:t xml:space="preserve">30 jours à compter de la date d’émission.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Délai d’exécution : </w:t>
      </w:r>
      <w:r>
        <w:rPr>
          <w:rFonts w:ascii="Calibri" w:cs="Calibri" w:eastAsia="Calibri" w:hAnsi="Calibri"/>
          <w:sz w:val="18"/>
          <w:szCs w:val="18"/>
        </w:rPr>
        <w:t xml:space="preserve">10 jours ouvrés à compter de la réception des fournitures de la phase 1.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Modalités de paiement : </w:t>
      </w:r>
      <w:r>
        <w:rPr>
          <w:rFonts w:ascii="Calibri" w:cs="Calibri" w:eastAsia="Calibri" w:hAnsi="Calibri"/>
          <w:sz w:val="18"/>
          <w:szCs w:val="18"/>
        </w:rPr>
        <w:t xml:space="preserve">100 % à la restitution du matériel, par virement bancaire. Coordonnées bancaires : [Banque — IBAN / N° de compte].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Garantie : </w:t>
      </w:r>
      <w:r>
        <w:rPr>
          <w:rFonts w:ascii="Calibri" w:cs="Calibri" w:eastAsia="Calibri" w:hAnsi="Calibri"/>
          <w:sz w:val="18"/>
          <w:szCs w:val="18"/>
        </w:rPr>
        <w:t xml:space="preserve">3 mois sur les prestations de réparation, à compter de la date de restitution. La garantie ne couvre pas les dommages consécutifs à une surtension, une infiltration d’eau ou une intervention d’un tiers.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Pièces non réparables : </w:t>
      </w:r>
      <w:r>
        <w:rPr>
          <w:rFonts w:ascii="Calibri" w:cs="Calibri" w:eastAsia="Calibri" w:hAnsi="Calibri"/>
          <w:sz w:val="18"/>
          <w:szCs w:val="18"/>
        </w:rPr>
        <w:t xml:space="preserve">Tout composant jugé irréparable en cours de travaux fait l’objet d’un avenant chiffré soumis à votre accord préalable.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Logistique : </w:t>
      </w:r>
      <w:r>
        <w:rPr>
          <w:rFonts w:ascii="Calibri" w:cs="Calibri" w:eastAsia="Calibri" w:hAnsi="Calibri"/>
          <w:sz w:val="18"/>
          <w:szCs w:val="18"/>
        </w:rPr>
        <w:t xml:space="preserve">L’enlèvement et la restitution du matériel sont à la charge du client.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Prix : </w:t>
      </w:r>
      <w:r>
        <w:rPr>
          <w:rFonts w:ascii="Calibri" w:cs="Calibri" w:eastAsia="Calibri" w:hAnsi="Calibri"/>
          <w:sz w:val="18"/>
          <w:szCs w:val="18"/>
        </w:rPr>
        <w:t xml:space="preserve">Montants exprimés en francs CFA (XOF). TVA non applicable — [préciser le régime : exonération, franchise ou assujettissement du client].</w:t>
      </w:r>
    </w:p>
    <w:p>
      <w:pPr>
        <w:spacing w:after="320"/>
      </w:pP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0"/>
        <w:gridCol w:w="4950"/>
      </w:tblGrid>
      <w:tr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Pour le client — ATINKOU</w:t>
            </w:r>
          </w:p>
          <w:p>
            <w:pPr>
              <w:spacing w:after="7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« Bon pour accord », date, cachet et signature</w:t>
            </w:r>
          </w:p>
          <w:p>
            <w:pPr>
              <w:pBdr>
                <w:top w:val="single" w:color="808080" w:sz="6" w:space="4"/>
              </w:pBdr>
              <w:spacing w:after="0"/>
            </w:pPr>
          </w:p>
        </w:tc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Pour [VOTRE SOCIÉTÉ]</w:t>
            </w:r>
          </w:p>
          <w:p>
            <w:pPr>
              <w:spacing w:after="7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Le Responsable technique</w:t>
            </w:r>
          </w:p>
          <w:p>
            <w:pPr>
              <w:pBdr>
                <w:top w:val="single" w:color="808080" w:sz="6" w:space="4"/>
              </w:pBdr>
              <w:spacing w:after="0"/>
            </w:pP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Devis proforma PRO-2026-014/B — ATINKOU</dc:title>
  <dc:creator>Board Doctor</dc:creator>
  <cp:lastModifiedBy>Un-named</cp:lastModifiedBy>
  <cp:revision>1</cp:revision>
  <dcterms:created xsi:type="dcterms:W3CDTF">2026-09-14T09:25:31.460Z</dcterms:created>
  <dcterms:modified xsi:type="dcterms:W3CDTF">2026-09-14T09:25:31.460Z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