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400"/>
        <w:gridCol w:w="45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864"/>
                <w:sz w:val="26"/>
                <w:szCs w:val="26"/>
              </w:rPr>
              <w:t xml:space="preserve">[VOTRE SOCIÉTÉ]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595959"/>
                <w:sz w:val="17"/>
                <w:szCs w:val="17"/>
              </w:rPr>
              <w:t xml:space="preserve">Maintenance électronique et instrumentation industrielle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[Adresse — Zone industrielle, Abidjan]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Tél. : [+225 XX XX XX XX XX]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E-mail : thortechnologie@gmail.com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RCCM : [N°] — CC : [N° Compte Contribuable]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864"/>
                <w:sz w:val="16"/>
                <w:szCs w:val="16"/>
              </w:rPr>
              <w:t xml:space="preserve">CLIENT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00000"/>
                <w:sz w:val="22"/>
                <w:szCs w:val="22"/>
              </w:rPr>
              <w:t xml:space="preserve">ATINKOU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[Centrale thermique — Jacqueville, Côte d’Ivoire]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À l’attention de : [Nom du destinataire]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00000"/>
                <w:sz w:val="17"/>
                <w:szCs w:val="17"/>
              </w:rPr>
              <w:t xml:space="preserve">Service : Maintenance / Instrumentation</w:t>
            </w:r>
          </w:p>
        </w:tc>
      </w:tr>
    </w:tbl>
    <w:p>
      <w:pPr>
        <w:spacing w:after="200"/>
      </w:pPr>
    </w:p>
    <w:p>
      <w:pPr>
        <w:pBdr>
          <w:bottom w:val="single" w:color="1F3864" w:sz="12" w:space="6"/>
        </w:pBd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DEVIS PROFORMA</w:t>
      </w:r>
    </w:p>
    <w:p>
      <w:pPr>
        <w:spacing w:after="180"/>
        <w:jc w:val="center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N° PRO-2026-014   ·   Abidjan, le 14 septembre 2026   ·   Validité : 30 jours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864"/>
          <w:sz w:val="20"/>
          <w:szCs w:val="20"/>
        </w:rPr>
        <w:t xml:space="preserve">OBJET : Dépannage et remise en état d’équipements d’instrumentation et de robinetterie motorisée</w:t>
      </w:r>
    </w:p>
    <w:p>
      <w:pPr>
        <w:spacing w:after="2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00000"/>
          <w:sz w:val="19"/>
          <w:szCs w:val="19"/>
        </w:rPr>
        <w:t xml:space="preserve">Suite à votre demande et à l’examen du matériel qui nous a été confié, nous avons l’honneur de vous soumettre notre proposition chiffrée pour le diagnostic, la réparation et la remise en service des cinq équipements listés ci-dessous. Les prestations comprennent les essais de validation en atelier et la remise d’un dossier technique.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700"/>
        <w:gridCol w:w="1600"/>
        <w:gridCol w:w="18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5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Désignation des prestations</w:t>
            </w:r>
          </w:p>
        </w:tc>
        <w:tc>
          <w:tcPr>
            <w:tcW w:type="dxa" w:w="7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Qté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P.U. HT</w:t>
            </w:r>
          </w:p>
        </w:tc>
        <w:tc>
          <w:tcPr>
            <w:tcW w:type="dxa" w:w="18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Montant HT</w:t>
            </w:r>
          </w:p>
        </w:tc>
      </w:tr>
      <w:tr>
        <w:tc>
          <w:tcPr>
            <w:tcW w:type="dxa" w:w="9900"/>
            <w:gridSpan w:val="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A — REMISE EN ÉTAT DES ÉQUIPEMENTS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Actionneur électrique AOX-M-060 — carte de commande réf. C1171-M1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95959"/>
                <w:sz w:val="16"/>
                <w:szCs w:val="16"/>
              </w:rPr>
              <w:t xml:space="preserve">Code câblage M-280-10 · 400 V AC · 400-540 Nm · 67 tr/min · IP67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95959"/>
                <w:sz w:val="16"/>
                <w:szCs w:val="16"/>
              </w:rPr>
              <w:t xml:space="preserve">Diagnostic sur banc, remplacement des relais de puissance et du bloc contacteur,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95959"/>
                <w:sz w:val="16"/>
                <w:szCs w:val="16"/>
              </w:rPr>
              <w:t xml:space="preserve">contrôle des alimentations 24 V / 5 V, reprise des soudures, tropicalisation,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95959"/>
                <w:sz w:val="16"/>
                <w:szCs w:val="16"/>
              </w:rPr>
              <w:t xml:space="preserve">essais de manœuvre ouverture/fermeture en charge.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485 000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485 000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Actionneur électrique ROTORK (commande locale + volant de secours)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95959"/>
                <w:sz w:val="16"/>
                <w:szCs w:val="16"/>
              </w:rPr>
              <w:t xml:space="preserve">Diagnostic complet, remise en état de la carte de commande et des contacteurs,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95959"/>
                <w:sz w:val="16"/>
                <w:szCs w:val="16"/>
              </w:rPr>
              <w:t xml:space="preserve">contrôle du moteur et des isolements, réglage des fins de course et du limiteur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95959"/>
                <w:sz w:val="16"/>
                <w:szCs w:val="16"/>
              </w:rPr>
              <w:t xml:space="preserve">de couple, essais de manœuvre et vérification de la recopie de position.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750 000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750 000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Transmetteur de pression SIEMENS SITRANS P320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95959"/>
                <w:sz w:val="16"/>
                <w:szCs w:val="16"/>
              </w:rPr>
              <w:t xml:space="preserve">Réf. 7MF03D0-1VE01-5AF2-Z · 4-20 mA HART · 10,5-45 V DC · IP66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95959"/>
                <w:sz w:val="16"/>
                <w:szCs w:val="16"/>
              </w:rPr>
              <w:t xml:space="preserve">Diagnostic électronique, remise en état, contrôle d’étanchéité de la cellule,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95959"/>
                <w:sz w:val="16"/>
                <w:szCs w:val="16"/>
              </w:rPr>
              <w:t xml:space="preserve">réétalonnage 5 points avec certificat de vérification raccordé étalon.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395 000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395 000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Positionneur de vanne ROTORK YTC YT-200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95959"/>
                <w:sz w:val="16"/>
                <w:szCs w:val="16"/>
              </w:rPr>
              <w:t xml:space="preserve">Révision complète : nettoyage du bloc pneumatique, remplacement du kit joints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95959"/>
                <w:sz w:val="16"/>
                <w:szCs w:val="16"/>
              </w:rPr>
              <w:t xml:space="preserve">et du relais pilote, réglage de la course, calibration du signal 4-20 mA,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95959"/>
                <w:sz w:val="16"/>
                <w:szCs w:val="16"/>
              </w:rPr>
              <w:t xml:space="preserve">essais de réponse et de linéarité sur banc.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320 000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320 000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Alimentation PULS DIMENSION CP10.481 (repère -FA1)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95959"/>
                <w:sz w:val="16"/>
                <w:szCs w:val="16"/>
              </w:rPr>
              <w:t xml:space="preserve">48 V DC / 5,4 A · entrée 100-240 V AC · contact DC-ok 13/14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95959"/>
                <w:sz w:val="16"/>
                <w:szCs w:val="16"/>
              </w:rPr>
              <w:t xml:space="preserve">Réparation des étages primaire et secondaire, remplacement des condensateurs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95959"/>
                <w:sz w:val="16"/>
                <w:szCs w:val="16"/>
              </w:rPr>
              <w:t xml:space="preserve">électrolytiques et du circuit de commutation, essais en charge sur 8 heures.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185 000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185 000</w:t>
            </w:r>
          </w:p>
        </w:tc>
      </w:tr>
      <w:tr>
        <w:tc>
          <w:tcPr>
            <w:tcW w:type="dxa" w:w="9900"/>
            <w:gridSpan w:val="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B — PIÈCES DÉTACHÉES ET CONSOMMABLES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Kit de composants électroniques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95959"/>
                <w:sz w:val="16"/>
                <w:szCs w:val="16"/>
              </w:rPr>
              <w:t xml:space="preserve">Relais de puissance, condensateurs, optocoupleurs, régulateurs, borniers,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95959"/>
                <w:sz w:val="16"/>
                <w:szCs w:val="16"/>
              </w:rPr>
              <w:t xml:space="preserve">connecteurs et composants de commutation.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275 000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275 000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Consommables d’atelier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95959"/>
                <w:sz w:val="16"/>
                <w:szCs w:val="16"/>
              </w:rPr>
              <w:t xml:space="preserve">Soudure, tresse à dessouder, vernis de tropicalisation, produits de nettoyage,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95959"/>
                <w:sz w:val="16"/>
                <w:szCs w:val="16"/>
              </w:rPr>
              <w:t xml:space="preserve">gaines thermorétractables et visserie.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45 000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45 000</w:t>
            </w:r>
          </w:p>
        </w:tc>
      </w:tr>
      <w:tr>
        <w:tc>
          <w:tcPr>
            <w:tcW w:type="dxa" w:w="9900"/>
            <w:gridSpan w:val="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C — ESSAIS, LOGISTIQUE ET DOCUMENTATION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Essais de validation sur banc et rapport de test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95959"/>
                <w:sz w:val="16"/>
                <w:szCs w:val="16"/>
              </w:rPr>
              <w:t xml:space="preserve">Par équipement, avant restitution.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35 000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175 000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Enlèvement et restitution du matériel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95959"/>
                <w:sz w:val="16"/>
                <w:szCs w:val="16"/>
              </w:rPr>
              <w:t xml:space="preserve">Rotation atelier ↔ site Atinkou, transport et manutention inclus.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90 000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180 000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Dossier technique de fin d’intervention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95959"/>
                <w:sz w:val="16"/>
                <w:szCs w:val="16"/>
              </w:rPr>
              <w:t xml:space="preserve">Rapport de diagnostic, relevés de mesures, certificats d’étalonnage (PDF + papier).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60 000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60 000</w:t>
            </w:r>
          </w:p>
        </w:tc>
      </w:tr>
      <w:tr>
        <w:tc>
          <w:tcPr>
            <w:tcW w:type="dxa" w:w="650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600"/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TOTAL HT</w:t>
            </w:r>
          </w:p>
        </w:tc>
        <w:tc>
          <w:tcPr>
            <w:tcW w:type="dxa" w:w="1800"/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2 870 000</w:t>
            </w:r>
          </w:p>
        </w:tc>
      </w:tr>
      <w:tr>
        <w:tc>
          <w:tcPr>
            <w:tcW w:type="dxa" w:w="650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600"/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Remise commerciale 5 %</w:t>
            </w:r>
          </w:p>
        </w:tc>
        <w:tc>
          <w:tcPr>
            <w:tcW w:type="dxa" w:w="1800"/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- 143 500</w:t>
            </w:r>
          </w:p>
        </w:tc>
      </w:tr>
      <w:tr>
        <w:tc>
          <w:tcPr>
            <w:tcW w:type="dxa" w:w="650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600"/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NET HT</w:t>
            </w:r>
          </w:p>
        </w:tc>
        <w:tc>
          <w:tcPr>
            <w:tcW w:type="dxa" w:w="1800"/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2 726 500</w:t>
            </w:r>
          </w:p>
        </w:tc>
      </w:tr>
      <w:tr>
        <w:tc>
          <w:tcPr>
            <w:tcW w:type="dxa" w:w="650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600"/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TVA 18 %</w:t>
            </w:r>
          </w:p>
        </w:tc>
        <w:tc>
          <w:tcPr>
            <w:tcW w:type="dxa" w:w="1800"/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490 770</w:t>
            </w:r>
          </w:p>
        </w:tc>
      </w:tr>
      <w:tr>
        <w:tc>
          <w:tcPr>
            <w:tcW w:type="dxa" w:w="650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TOTAL TTC (FCFA)</w:t>
            </w:r>
          </w:p>
        </w:tc>
        <w:tc>
          <w:tcPr>
            <w:tcW w:type="dxa" w:w="18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3 217 270</w:t>
            </w:r>
          </w:p>
        </w:tc>
      </w:tr>
    </w:tbl>
    <w:p>
      <w:pPr>
        <w:spacing w:after="120"/>
      </w:pPr>
    </w:p>
    <w:p>
      <w:pPr>
        <w:spacing w:after="16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C00000"/>
          <w:sz w:val="20"/>
          <w:szCs w:val="20"/>
        </w:rPr>
        <w:t xml:space="preserve">Arrêté le présent devis proforma à la somme de : 3 217 270 FCFA TTC.</w:t>
      </w:r>
    </w:p>
    <w:p>
      <w:r>
        <w:br w:type="page"/>
      </w:r>
    </w:p>
    <w:p>
      <w:pPr>
        <w:spacing w:after="10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864"/>
          <w:sz w:val="20"/>
          <w:szCs w:val="20"/>
        </w:rPr>
        <w:t xml:space="preserve">OPTIONS ET FOURNITURES COMPLÉMENTAIRES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000000"/>
          <w:sz w:val="18"/>
          <w:szCs w:val="18"/>
        </w:rPr>
        <w:t xml:space="preserve">Les montants ci-après ne sont pas inclus dans le total. Ils ne seront engagés qu’après votre accord écrit, notamment si le diagnostic atelier conclut au caractère irréparable d’un sous-ensemble.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3400"/>
      </w:tblGrid>
      <w:tr>
        <w:trPr>
          <w:tblHeader/>
        </w:trPr>
        <w:tc>
          <w:tcPr>
            <w:tcW w:type="dxa" w:w="6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Option (non incluse dans le total ci-dessus)</w:t>
            </w:r>
          </w:p>
        </w:tc>
        <w:tc>
          <w:tcPr>
            <w:tcW w:type="dxa" w:w="3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Prix HT (FCFA)</w:t>
            </w:r>
          </w:p>
        </w:tc>
      </w:tr>
      <w:tr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Fourniture d’une carte de commande AOX neuve réf. C1171-M1 (si réparation non concluante)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1 150 000</w:t>
            </w:r>
          </w:p>
        </w:tc>
      </w:tr>
      <w:tr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Fourniture d’un transmetteur SIEMENS SITRANS P320 neuf, réf. 7MF03D0-1VE01-5AF2-Z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2 350 000</w:t>
            </w:r>
          </w:p>
        </w:tc>
      </w:tr>
      <w:tr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Fourniture d’une alimentation PULS DIMENSION CP10.481 neuve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395 000</w:t>
            </w:r>
          </w:p>
        </w:tc>
      </w:tr>
      <w:tr>
        <w:tc>
          <w:tcPr>
            <w:tcW w:type="dxa" w:w="6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Contrat de maintenance préventive annuelle (2 visites sur site, instrumentation et actionneurs)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1 800 000</w:t>
            </w:r>
          </w:p>
        </w:tc>
      </w:tr>
    </w:tbl>
    <w:p>
      <w:pPr>
        <w:spacing w:after="260"/>
      </w:pPr>
    </w:p>
    <w:p>
      <w:pPr>
        <w:spacing w:after="10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864"/>
          <w:sz w:val="20"/>
          <w:szCs w:val="20"/>
        </w:rPr>
        <w:t xml:space="preserve">CONDITIONS COMMERCIALES ET TECHNIQUES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Validité de l’offre : </w:t>
      </w:r>
      <w:r>
        <w:rPr>
          <w:rFonts w:ascii="Calibri" w:cs="Calibri" w:eastAsia="Calibri" w:hAnsi="Calibri"/>
          <w:sz w:val="18"/>
          <w:szCs w:val="18"/>
        </w:rPr>
        <w:t xml:space="preserve">30 jours à compter de la date d’émission.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Délai d’exécution : </w:t>
      </w:r>
      <w:r>
        <w:rPr>
          <w:rFonts w:ascii="Calibri" w:cs="Calibri" w:eastAsia="Calibri" w:hAnsi="Calibri"/>
          <w:sz w:val="18"/>
          <w:szCs w:val="18"/>
        </w:rPr>
        <w:t xml:space="preserve">15 jours ouvrés à compter de la réception du bon de commande et du matériel complet. Délai porté à 6 semaines si une fourniture neuve à l’import est retenue.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Modalités de paiement : </w:t>
      </w:r>
      <w:r>
        <w:rPr>
          <w:rFonts w:ascii="Calibri" w:cs="Calibri" w:eastAsia="Calibri" w:hAnsi="Calibri"/>
          <w:sz w:val="18"/>
          <w:szCs w:val="18"/>
        </w:rPr>
        <w:t xml:space="preserve">50 % à la commande, solde à la restitution du matériel, par virement bancaire. Coordonnées bancaires : [Banque — IBAN / N° de compte].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Garantie : </w:t>
      </w:r>
      <w:r>
        <w:rPr>
          <w:rFonts w:ascii="Calibri" w:cs="Calibri" w:eastAsia="Calibri" w:hAnsi="Calibri"/>
          <w:sz w:val="18"/>
          <w:szCs w:val="18"/>
        </w:rPr>
        <w:t xml:space="preserve">3 mois sur les prestations de réparation et les pièces remplacées, à compter de la date de restitution. La garantie ne couvre pas les dommages consécutifs à une surtension, une infiltration d’eau ou une intervention d’un tiers.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Diagnostic : </w:t>
      </w:r>
      <w:r>
        <w:rPr>
          <w:rFonts w:ascii="Calibri" w:cs="Calibri" w:eastAsia="Calibri" w:hAnsi="Calibri"/>
          <w:sz w:val="18"/>
          <w:szCs w:val="18"/>
        </w:rPr>
        <w:t xml:space="preserve">Le forfait diagnostic est intégré au prix de réparation. En cas de refus du devis après démontage, seuls les frais de diagnostic et de transport restent dus.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Pièces non réparables : </w:t>
      </w:r>
      <w:r>
        <w:rPr>
          <w:rFonts w:ascii="Calibri" w:cs="Calibri" w:eastAsia="Calibri" w:hAnsi="Calibri"/>
          <w:sz w:val="18"/>
          <w:szCs w:val="18"/>
        </w:rPr>
        <w:t xml:space="preserve">Tout composant jugé irréparable fait l’objet d’un avenant chiffré soumis à votre accord préalable.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Prix : </w:t>
      </w:r>
      <w:r>
        <w:rPr>
          <w:rFonts w:ascii="Calibri" w:cs="Calibri" w:eastAsia="Calibri" w:hAnsi="Calibri"/>
          <w:sz w:val="18"/>
          <w:szCs w:val="18"/>
        </w:rPr>
        <w:t xml:space="preserve">Montants exprimés en francs CFA (XOF), hors taxes, TVA 18 % en sus. Transport et manutention inclus pour deux rotations Abidjan ↔ site.</w:t>
      </w:r>
    </w:p>
    <w:p>
      <w:pPr>
        <w:spacing w:after="320"/>
      </w:pP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50"/>
        <w:gridCol w:w="4950"/>
      </w:tblGrid>
      <w:tr>
        <w:tc>
          <w:tcPr>
            <w:tcW w:type="dxa" w:w="4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Pour le client — ATINKOU</w:t>
            </w:r>
          </w:p>
          <w:p>
            <w:pPr>
              <w:spacing w:after="70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595959"/>
                <w:sz w:val="16"/>
                <w:szCs w:val="16"/>
              </w:rPr>
              <w:t xml:space="preserve">« Bon pour accord », date, cachet et signature</w:t>
            </w:r>
          </w:p>
          <w:p>
            <w:pPr>
              <w:pBdr>
                <w:top w:val="single" w:color="808080" w:sz="6" w:space="4"/>
              </w:pBdr>
              <w:spacing w:after="0"/>
            </w:pPr>
          </w:p>
        </w:tc>
        <w:tc>
          <w:tcPr>
            <w:tcW w:type="dxa" w:w="4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30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00000"/>
                <w:sz w:val="18"/>
                <w:szCs w:val="18"/>
              </w:rPr>
              <w:t xml:space="preserve">Pour [VOTRE SOCIÉTÉ]</w:t>
            </w:r>
          </w:p>
          <w:p>
            <w:pPr>
              <w:spacing w:after="70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595959"/>
                <w:sz w:val="16"/>
                <w:szCs w:val="16"/>
              </w:rPr>
              <w:t xml:space="preserve">Le Responsable technique</w:t>
            </w:r>
          </w:p>
          <w:p>
            <w:pPr>
              <w:pBdr>
                <w:top w:val="single" w:color="808080" w:sz="6" w:space="4"/>
              </w:pBdr>
              <w:spacing w:after="0"/>
            </w:pPr>
          </w:p>
        </w:tc>
      </w:tr>
    </w:tbl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Devis proforma — ATINKOU</dc:title>
  <dc:creator>Board Doctor</dc:creator>
  <cp:lastModifiedBy>Un-named</cp:lastModifiedBy>
  <cp:revision>1</cp:revision>
  <dcterms:created xsi:type="dcterms:W3CDTF">2026-09-14T08:43:37.974Z</dcterms:created>
  <dcterms:modified xsi:type="dcterms:W3CDTF">2026-09-14T08:43:37.975Z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