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B9545">
      <w:pPr>
        <w:pStyle w:val="2"/>
        <w:bidi w:val="0"/>
      </w:pPr>
      <w:r>
        <w:t>基于瞬态着火特性的含能材料爆炸极限反演研究</w:t>
      </w:r>
    </w:p>
    <w:p w14:paraId="43B9EAAB">
      <w:pPr>
        <w:pStyle w:val="3"/>
        <w:bidi w:val="0"/>
        <w:rPr>
          <w:rFonts w:hint="eastAsia"/>
          <w:lang w:val="en-US" w:eastAsia="zh-CN"/>
        </w:rPr>
      </w:pPr>
      <w:r>
        <w:rPr>
          <w:rFonts w:hint="eastAsia"/>
          <w:lang w:val="en-US" w:eastAsia="zh-CN"/>
        </w:rPr>
        <w:t>摘要</w:t>
      </w:r>
    </w:p>
    <w:p w14:paraId="529F8F86">
      <w:pPr>
        <w:bidi w:val="0"/>
        <w:ind w:firstLine="420" w:firstLineChars="200"/>
        <w:rPr>
          <w:rFonts w:hint="eastAsia"/>
          <w:lang w:val="en-US" w:eastAsia="zh-CN"/>
        </w:rPr>
      </w:pPr>
      <w:r>
        <w:rPr>
          <w:rFonts w:hint="eastAsia"/>
          <w:lang w:val="en-US" w:eastAsia="zh-CN"/>
        </w:rPr>
        <w:t>本文以硝基甲烷为研究对象，引入Livengood-Wu积分修正法消除RCM实验数据的瞬态效应误差，建立了"原始数据—修正数据—模型预测数据"三源对比分析框架。基于实验获取、模型演算和修正后实验数据三类数据源分别拟合阿伦尼乌斯方程动力学参数，并代入爆炸极限模型进行计算。</w:t>
      </w:r>
    </w:p>
    <w:p w14:paraId="47E0FFF2">
      <w:pPr>
        <w:ind w:firstLine="420" w:firstLineChars="200"/>
        <w:rPr>
          <w:rFonts w:hint="eastAsia"/>
          <w:lang w:val="en-US" w:eastAsia="zh-CN"/>
        </w:rPr>
      </w:pPr>
      <w:r>
        <w:rPr>
          <w:rFonts w:hint="eastAsia"/>
          <w:lang w:val="en-US" w:eastAsia="zh-CN"/>
        </w:rPr>
        <w:t>结果表明，Livengood-Wu修正法能有效消除RCM实验的系统偏差，修正后数据拟合得到的爆炸极限与文献实验值的相对误差从（XX%）降低至（XX%）；数据表明，该修正方法在795K~875K温度范围内、14.5~31.5bar压力范围内使用效果突出。本研究为含能材料基础燃烧数据的高精度获取提供了新方法，可推广应用于其他含能化合物的爆炸特性评估。</w:t>
      </w:r>
    </w:p>
    <w:p w14:paraId="723031FD">
      <w:pPr>
        <w:pStyle w:val="3"/>
        <w:bidi w:val="0"/>
        <w:rPr>
          <w:rFonts w:hint="eastAsia"/>
          <w:lang w:val="en-US" w:eastAsia="zh-CN"/>
        </w:rPr>
      </w:pPr>
      <w:r>
        <w:rPr>
          <w:rFonts w:hint="eastAsia"/>
          <w:lang w:val="en-US" w:eastAsia="zh-CN"/>
        </w:rPr>
        <w:t>关键词</w:t>
      </w:r>
    </w:p>
    <w:p w14:paraId="536DDF6E">
      <w:pPr>
        <w:rPr>
          <w:rFonts w:hint="eastAsia"/>
          <w:b w:val="0"/>
          <w:bCs w:val="0"/>
          <w:lang w:val="en-US" w:eastAsia="zh-CN"/>
        </w:rPr>
      </w:pPr>
      <w:r>
        <w:rPr>
          <w:rFonts w:hint="eastAsia"/>
          <w:b w:val="0"/>
          <w:bCs w:val="0"/>
          <w:lang w:val="en-US" w:eastAsia="zh-CN"/>
        </w:rPr>
        <w:t xml:space="preserve">含能材料 </w:t>
      </w:r>
    </w:p>
    <w:p w14:paraId="04219665">
      <w:pPr>
        <w:rPr>
          <w:rFonts w:hint="eastAsia"/>
          <w:b w:val="0"/>
          <w:bCs w:val="0"/>
          <w:lang w:val="en-US" w:eastAsia="zh-CN"/>
        </w:rPr>
      </w:pPr>
      <w:r>
        <w:rPr>
          <w:rFonts w:hint="eastAsia"/>
          <w:b w:val="0"/>
          <w:bCs w:val="0"/>
          <w:lang w:val="en-US" w:eastAsia="zh-CN"/>
        </w:rPr>
        <w:t xml:space="preserve">误差修正 </w:t>
      </w:r>
    </w:p>
    <w:p w14:paraId="34E6CE1F">
      <w:pPr>
        <w:rPr>
          <w:rFonts w:hint="eastAsia"/>
          <w:b w:val="0"/>
          <w:bCs w:val="0"/>
          <w:lang w:val="en-US" w:eastAsia="zh-CN"/>
        </w:rPr>
      </w:pPr>
      <w:r>
        <w:rPr>
          <w:rFonts w:hint="eastAsia"/>
          <w:b w:val="0"/>
          <w:bCs w:val="0"/>
          <w:lang w:val="en-US" w:eastAsia="zh-CN"/>
        </w:rPr>
        <w:t>爆炸极限</w:t>
      </w:r>
    </w:p>
    <w:p w14:paraId="3A0A8D63">
      <w:pPr>
        <w:pStyle w:val="3"/>
        <w:bidi w:val="0"/>
        <w:rPr>
          <w:rFonts w:hint="eastAsia"/>
          <w:lang w:val="en-US" w:eastAsia="zh-CN"/>
        </w:rPr>
      </w:pPr>
      <w:r>
        <w:rPr>
          <w:rFonts w:hint="eastAsia"/>
          <w:lang w:val="en-US" w:eastAsia="zh-CN"/>
        </w:rPr>
        <w:t>0引言</w:t>
      </w:r>
    </w:p>
    <w:p w14:paraId="37F0D910">
      <w:pPr>
        <w:ind w:firstLine="420" w:firstLineChars="200"/>
        <w:rPr>
          <w:rFonts w:hint="eastAsia"/>
          <w:lang w:val="en-US" w:eastAsia="zh-CN"/>
        </w:rPr>
      </w:pPr>
      <w:r>
        <w:rPr>
          <w:rFonts w:hint="eastAsia"/>
          <w:lang w:val="en-US" w:eastAsia="zh-CN"/>
        </w:rPr>
        <w:t>含能材料在航空航天、国防军工及民用爆破等领域具有不可替代的应用价值。准确评估含能材料的着火安全特性，尤其是爆炸极限的精确测定，是从源头保障燃料生产、储运和使用安全的核心科学依据。</w:t>
      </w:r>
    </w:p>
    <w:p w14:paraId="4145CCBE">
      <w:pPr>
        <w:ind w:firstLine="420" w:firstLineChars="200"/>
        <w:rPr>
          <w:rFonts w:hint="eastAsia"/>
          <w:lang w:val="en-US" w:eastAsia="zh-CN"/>
        </w:rPr>
      </w:pPr>
      <w:r>
        <w:rPr>
          <w:rFonts w:hint="eastAsia"/>
          <w:lang w:val="en-US" w:eastAsia="zh-CN"/>
        </w:rPr>
        <w:t>含能材料爆炸极限的传统测定方法主要包括实验测量和理论预测两大类。实验方法中，快速压缩机已成为获取着火延迟期数据的主流手段。然而，RCM实验在压缩冲程中不可避免地存在热损失、边界层效应及非绝热压缩等因素，导致实测数据偏离理想绝热条件，产生显著的系统误差,制约了含能材料安全评估的精量化发展。</w:t>
      </w:r>
    </w:p>
    <w:p w14:paraId="64015048">
      <w:pPr>
        <w:ind w:firstLine="420" w:firstLineChars="200"/>
        <w:rPr>
          <w:rFonts w:hint="eastAsia"/>
          <w:lang w:val="en-US" w:eastAsia="zh-CN"/>
        </w:rPr>
      </w:pPr>
      <w:r>
        <w:rPr>
          <w:rFonts w:hint="eastAsia"/>
          <w:lang w:val="en-US" w:eastAsia="zh-CN"/>
        </w:rPr>
        <w:t>早期研究主要采用零维热力学模型对压缩过程进行模拟反推热损失参数，进而对温度历史进行修正。该方法在一定程度上改善了数据质量，但因简化假设限制了修正精度的进一步提升。部分学者尝试采用计算流体动力学方法进行精细化模拟，虽能获得更准确的温度分布信息，但计算成本高昂且工程实用性受限。</w:t>
      </w:r>
    </w:p>
    <w:p w14:paraId="68A81A93">
      <w:pPr>
        <w:ind w:firstLine="420" w:firstLineChars="200"/>
        <w:rPr>
          <w:rFonts w:hint="eastAsia"/>
          <w:lang w:val="en-US" w:eastAsia="zh-CN"/>
        </w:rPr>
      </w:pPr>
      <w:r>
        <w:rPr>
          <w:rFonts w:hint="eastAsia"/>
          <w:lang w:val="en-US" w:eastAsia="zh-CN"/>
        </w:rPr>
        <w:t>Livengood-Wu积分法是一种基于反应动力学与热力学耦合的半经验修正方法，最初用于预测内燃机中的爆震现象。该方法通过积分计算有效压缩温度历史，可在不显著增加计算成本的前提下，对非绝热条件进行系统补偿。针对该修正方法在含能材料爆炸极限测定领域的研究空白，本文提出一种基于Livengood-Wu积分修正法的硝基甲烷爆炸极限反演方法。</w:t>
      </w:r>
    </w:p>
    <w:p w14:paraId="640369DA">
      <w:pPr>
        <w:pStyle w:val="3"/>
        <w:bidi w:val="0"/>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1文献综述</w:t>
      </w:r>
    </w:p>
    <w:p w14:paraId="7B327DEC">
      <w:pPr>
        <w:pStyle w:val="4"/>
        <w:keepNext w:val="0"/>
        <w:keepLines w:val="0"/>
        <w:pageBreakBefore w:val="0"/>
        <w:widowControl w:val="0"/>
        <w:kinsoku/>
        <w:wordWrap/>
        <w:overflowPunct/>
        <w:topLinePunct w:val="0"/>
        <w:autoSpaceDE/>
        <w:autoSpaceDN/>
        <w:bidi w:val="0"/>
        <w:adjustRightInd/>
        <w:snapToGrid/>
        <w:spacing w:beforeAutospacing="0" w:afterAutospacing="0" w:line="240" w:lineRule="atLeast"/>
        <w:textAlignment w:val="auto"/>
        <w:rPr>
          <w:rFonts w:hint="eastAsia"/>
          <w:lang w:val="en-US" w:eastAsia="zh-CN"/>
        </w:rPr>
      </w:pPr>
      <w:r>
        <w:rPr>
          <w:rFonts w:hint="eastAsia"/>
          <w:lang w:val="en-US" w:eastAsia="zh-CN"/>
        </w:rPr>
        <w:t>1.1研究背景与意义</w:t>
      </w:r>
    </w:p>
    <w:p w14:paraId="27870E98">
      <w:pPr>
        <w:keepNext w:val="0"/>
        <w:keepLines w:val="0"/>
        <w:pageBreakBefore w:val="0"/>
        <w:widowControl w:val="0"/>
        <w:kinsoku/>
        <w:wordWrap/>
        <w:overflowPunct/>
        <w:topLinePunct w:val="0"/>
        <w:autoSpaceDE/>
        <w:autoSpaceDN/>
        <w:bidi w:val="0"/>
        <w:adjustRightInd/>
        <w:snapToGrid/>
        <w:spacing w:beforeAutospacing="0" w:afterAutospacing="0" w:line="240" w:lineRule="atLeast"/>
        <w:ind w:firstLine="420" w:firstLineChars="200"/>
        <w:textAlignment w:val="auto"/>
        <w:rPr>
          <w:rFonts w:hint="eastAsia"/>
          <w:lang w:val="en-US" w:eastAsia="zh-CN"/>
        </w:rPr>
      </w:pPr>
      <w:r>
        <w:rPr>
          <w:rFonts w:hint="eastAsia"/>
          <w:lang w:val="en-US" w:eastAsia="zh-CN"/>
        </w:rPr>
        <w:t>硝基甲烷（CHNO）作为一种典型的高能量密度含能材料，具有较高的氧含量和良好的能量释放特性，广泛应用于液体推进剂、炸药添加剂及民用爆破等领域。准确掌握硝基甲烷的着火安全特性，尤其是爆炸极限[1]的精确测定，是从源头保障其生产、储存、运输和使用安全的核心科学依据。爆炸极限作为表征可燃物质燃烧危险性的关键参数，其精确测定对于建立科学的安全标准、优化工艺设计以及开展风险评估具有重要的工程价值。</w:t>
      </w:r>
    </w:p>
    <w:p w14:paraId="134F849D">
      <w:pPr>
        <w:rPr>
          <w:rFonts w:hint="eastAsia"/>
          <w:lang w:val="en-US" w:eastAsia="zh-CN"/>
        </w:rPr>
      </w:pPr>
      <w:r>
        <w:rPr>
          <w:rFonts w:hint="eastAsia" w:ascii="宋体" w:hAnsi="宋体" w:eastAsia="宋体" w:cs="宋体"/>
          <w:b/>
          <w:bCs/>
          <w:kern w:val="0"/>
          <w:sz w:val="27"/>
          <w:szCs w:val="27"/>
          <w:lang w:val="en-US" w:eastAsia="zh-CN" w:bidi="ar"/>
        </w:rPr>
        <w:t>1.2实验方法现状与问题</w:t>
      </w:r>
    </w:p>
    <w:p w14:paraId="1A0E3A93">
      <w:pPr>
        <w:ind w:firstLine="420" w:firstLineChars="200"/>
        <w:rPr>
          <w:rFonts w:hint="eastAsia"/>
          <w:lang w:val="en-US" w:eastAsia="zh-CN"/>
        </w:rPr>
      </w:pPr>
      <w:r>
        <w:rPr>
          <w:rFonts w:hint="eastAsia"/>
          <w:lang w:val="en-US" w:eastAsia="zh-CN"/>
        </w:rPr>
        <w:t>目前，含能材料着火特性的实验研究主要依赖快速压缩机、激波管等设备。其中，RCM因其能够模拟宽温度范围、宽压力范围内的燃料自燃过程，已成为获取着火延迟期数据的主流实验手段。研究者通过RCM实验测量不同初始条件下的着火延迟期，进而拟合阿伦尼乌斯方程中的动力学参数，最终代入爆炸极限模型进行计算。</w:t>
      </w:r>
    </w:p>
    <w:p w14:paraId="33177AE9">
      <w:pPr>
        <w:ind w:firstLine="420" w:firstLineChars="200"/>
        <w:rPr>
          <w:rFonts w:hint="eastAsia"/>
          <w:lang w:val="en-US" w:eastAsia="zh-CN"/>
        </w:rPr>
      </w:pPr>
      <w:r>
        <w:rPr>
          <w:rFonts w:hint="eastAsia"/>
          <w:lang w:val="en-US" w:eastAsia="zh-CN"/>
        </w:rPr>
        <w:t>然而，RCM实验在压缩冲程中不可避免地存在热损失、边界层效应及非绝热压缩等因素</w:t>
      </w:r>
      <w:r>
        <w:rPr>
          <w:rFonts w:hint="default"/>
          <w:lang w:eastAsia="zh-CN"/>
        </w:rPr>
        <w:t>[</w:t>
      </w:r>
      <w:r>
        <w:rPr>
          <w:rFonts w:hint="eastAsia"/>
          <w:lang w:val="en-US" w:eastAsia="zh-CN"/>
        </w:rPr>
        <w:t>2</w:t>
      </w:r>
      <w:r>
        <w:rPr>
          <w:rFonts w:hint="default"/>
          <w:lang w:eastAsia="zh-CN"/>
        </w:rPr>
        <w:t>]</w:t>
      </w:r>
      <w:r>
        <w:rPr>
          <w:rFonts w:hint="eastAsia"/>
          <w:lang w:val="en-US" w:eastAsia="zh-CN"/>
        </w:rPr>
        <w:t>，导致实测数据偏离理想绝热条件，产生显著的系统误差。研究表明，这些非理想因素可使着火延迟期的测量值偏离真实值达30%以上，进而影响后续动力学参数拟合的准确性，制约了含能材料安全评估的精量化发展。</w:t>
      </w:r>
    </w:p>
    <w:p w14:paraId="3AE83B25">
      <w:pPr>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1.3数据修正方法研究进展</w:t>
      </w:r>
    </w:p>
    <w:p w14:paraId="3B685098">
      <w:pPr>
        <w:ind w:firstLine="420" w:firstLineChars="200"/>
        <w:rPr>
          <w:rFonts w:hint="eastAsia"/>
          <w:lang w:val="en-US" w:eastAsia="zh-CN"/>
        </w:rPr>
      </w:pPr>
      <w:r>
        <w:rPr>
          <w:rFonts w:hint="eastAsia"/>
          <w:lang w:val="en-US" w:eastAsia="zh-CN"/>
        </w:rPr>
        <w:t>针对RCM实验数据的系统误差问题，研究者发展了多种修正方法。早期研究主要采用零维热力学模型对压缩过程进行模拟[3][4]，通过对比实验压力曲线与模拟结果反推热损失参数，进而对温度历史进行修正。该方法在一定程度上改善了数据质量，但因简化假设（如均匀温度场、忽略湍流混合效应）限制了修正精度的进一步提升。部分学者尝试采用计算流体动力学（CFD）方法进行精细化模拟，虽能获得更准确的温度分布信息，但计算成本高昂，且需针对具体实验工况进行模型校准，工程实用性受限。</w:t>
      </w:r>
    </w:p>
    <w:p w14:paraId="49470869">
      <w:pPr>
        <w:ind w:firstLine="420" w:firstLineChars="200"/>
        <w:rPr>
          <w:rFonts w:hint="eastAsia"/>
          <w:lang w:val="en-US" w:eastAsia="zh-CN"/>
        </w:rPr>
      </w:pPr>
      <w:r>
        <w:rPr>
          <w:rFonts w:hint="eastAsia"/>
          <w:lang w:val="en-US" w:eastAsia="zh-CN"/>
        </w:rPr>
        <w:t>Livengood-Wu积分法是一种基于反应动力学与热力学耦合的半经验修正方法，最初由Livengood和Wu于1955年提出，用于预测内燃机中的爆震现象。该方法通过积分计算有效压缩温度历史，可在不显著增加计算成本的前提下，对非绝热条件进行系统补偿。其核心表达式为：</w:t>
      </w:r>
    </w:p>
    <w:p w14:paraId="5CBC7EF1">
      <w:pPr>
        <w:widowControl w:val="0"/>
        <w:ind w:firstLine="480" w:firstLineChars="200"/>
        <w:jc w:val="center"/>
        <w:rPr>
          <w:rFonts w:hint="eastAsia" w:hAnsiTheme="minorHAnsi" w:eastAsiaTheme="minorEastAsia" w:cstheme="minorBidi"/>
          <w:i w:val="0"/>
          <w:kern w:val="2"/>
          <w:sz w:val="21"/>
          <w:szCs w:val="24"/>
          <w:lang w:val="en-US" w:eastAsia="zh-CN" w:bidi="ar-SA"/>
        </w:rPr>
      </w:pPr>
      <w:r>
        <w:rPr>
          <w:rFonts w:hint="eastAsia" w:hAnsi="Cambria Math"/>
          <w:i w:val="0"/>
          <w:sz w:val="24"/>
          <w:szCs w:val="24"/>
          <w:lang w:val="en-US" w:eastAsia="zh-CN"/>
        </w:rPr>
        <w:t>I=</w:t>
      </w:r>
      <m:oMath>
        <m:sSubSup>
          <m:sSubSupPr>
            <m:ctrlPr>
              <w:rPr>
                <w:rFonts w:ascii="Cambria Math" w:hAnsi="Cambria Math"/>
                <w:i/>
                <w:sz w:val="28"/>
                <w:szCs w:val="28"/>
              </w:rPr>
            </m:ctrlPr>
          </m:sSubSupPr>
          <m:e>
            <m:r>
              <m:rPr/>
              <w:rPr>
                <w:rFonts w:ascii="Cambria Math" w:hAnsi="Cambria Math"/>
                <w:sz w:val="28"/>
                <w:szCs w:val="28"/>
              </w:rPr>
              <m:t>∫</m:t>
            </m:r>
            <m:ctrlPr>
              <w:rPr>
                <w:rFonts w:ascii="Cambria Math" w:hAnsi="Cambria Math"/>
                <w:i/>
                <w:sz w:val="28"/>
                <w:szCs w:val="28"/>
              </w:rPr>
            </m:ctrlPr>
          </m:e>
          <m:sub>
            <m:sSub>
              <m:sSubPr>
                <m:ctrlPr>
                  <w:rPr>
                    <w:rFonts w:ascii="Cambria Math" w:hAnsi="Cambria Math"/>
                    <w:i/>
                    <w:sz w:val="28"/>
                    <w:szCs w:val="28"/>
                  </w:rPr>
                </m:ctrlPr>
              </m:sSubPr>
              <m:e>
                <m:r>
                  <m:rPr/>
                  <w:rPr>
                    <w:rFonts w:hint="default" w:ascii="Cambria Math" w:hAnsi="Cambria Math"/>
                    <w:sz w:val="28"/>
                    <w:szCs w:val="28"/>
                    <w:lang w:val="en-US" w:eastAsia="zh-CN"/>
                  </w:rPr>
                  <m:t>t</m:t>
                </m:r>
                <m:ctrlPr>
                  <w:rPr>
                    <w:rFonts w:ascii="Cambria Math" w:hAnsi="Cambria Math"/>
                    <w:i/>
                    <w:sz w:val="28"/>
                    <w:szCs w:val="28"/>
                  </w:rPr>
                </m:ctrlPr>
              </m:e>
              <m:sub>
                <m:r>
                  <m:rPr/>
                  <w:rPr>
                    <w:rFonts w:hint="default" w:ascii="Cambria Math" w:hAnsi="Cambria Math"/>
                    <w:sz w:val="28"/>
                    <w:szCs w:val="28"/>
                    <w:lang w:val="en-US" w:eastAsia="zh-CN"/>
                  </w:rPr>
                  <m:t>0</m:t>
                </m:r>
                <m:ctrlPr>
                  <w:rPr>
                    <w:rFonts w:ascii="Cambria Math" w:hAnsi="Cambria Math"/>
                    <w:i/>
                    <w:sz w:val="28"/>
                    <w:szCs w:val="28"/>
                  </w:rPr>
                </m:ctrlPr>
              </m:sub>
            </m:sSub>
            <m:ctrlPr>
              <w:rPr>
                <w:rFonts w:ascii="Cambria Math" w:hAnsi="Cambria Math"/>
                <w:i/>
                <w:sz w:val="28"/>
                <w:szCs w:val="28"/>
              </w:rPr>
            </m:ctrlPr>
          </m:sub>
          <m:sup>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t</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e</m:t>
                </m:r>
                <m:ctrlPr>
                  <w:rPr>
                    <w:rFonts w:hint="default" w:ascii="Cambria Math" w:hAnsi="Cambria Math"/>
                    <w:i/>
                    <w:sz w:val="28"/>
                    <w:szCs w:val="28"/>
                    <w:lang w:val="en-US" w:eastAsia="zh-CN"/>
                  </w:rPr>
                </m:ctrlPr>
              </m:sub>
            </m:sSub>
            <m:ctrlPr>
              <w:rPr>
                <w:rFonts w:ascii="Cambria Math" w:hAnsi="Cambria Math"/>
                <w:i/>
                <w:sz w:val="28"/>
                <w:szCs w:val="28"/>
              </w:rPr>
            </m:ctrlPr>
          </m:sup>
        </m:sSubSup>
        <m:f>
          <m:fPr>
            <m:ctrlPr>
              <w:rPr>
                <w:rFonts w:ascii="Cambria Math" w:hAnsi="Cambria Math"/>
                <w:i w:val="0"/>
                <w:sz w:val="28"/>
                <w:szCs w:val="28"/>
              </w:rPr>
            </m:ctrlPr>
          </m:fPr>
          <m:num>
            <m:r>
              <m:rPr>
                <m:sty m:val="p"/>
              </m:rPr>
              <w:rPr>
                <w:rFonts w:hint="default" w:ascii="Cambria Math" w:hAnsi="Cambria Math"/>
                <w:sz w:val="28"/>
                <w:szCs w:val="28"/>
                <w:lang w:val="en-US" w:eastAsia="zh-CN"/>
              </w:rPr>
              <m:t>1</m:t>
            </m:r>
            <m:ctrlPr>
              <w:rPr>
                <w:rFonts w:ascii="Cambria Math" w:hAnsi="Cambria Math"/>
                <w:i w:val="0"/>
                <w:sz w:val="28"/>
                <w:szCs w:val="28"/>
              </w:rPr>
            </m:ctrlPr>
          </m:num>
          <m:den>
            <m:r>
              <m:rPr/>
              <w:rPr>
                <w:rFonts w:hint="default" w:ascii="Cambria Math"/>
                <w:sz w:val="28"/>
                <w:szCs w:val="28"/>
              </w:rPr>
              <m:t>τ</m:t>
            </m:r>
            <m:r>
              <m:rPr/>
              <w:rPr>
                <w:rFonts w:hint="default" w:ascii="Cambria Math"/>
                <w:sz w:val="28"/>
                <w:szCs w:val="28"/>
                <w:lang w:val="en-US" w:eastAsia="zh-CN"/>
              </w:rPr>
              <m:t>(P,T)</m:t>
            </m:r>
            <m:ctrlPr>
              <w:rPr>
                <w:rFonts w:ascii="Cambria Math" w:hAnsi="Cambria Math"/>
                <w:i w:val="0"/>
                <w:sz w:val="28"/>
                <w:szCs w:val="28"/>
              </w:rPr>
            </m:ctrlPr>
          </m:den>
        </m:f>
        <m:r>
          <m:rPr>
            <m:sty m:val="p"/>
          </m:rPr>
          <w:rPr>
            <w:rFonts w:hint="eastAsia" w:asciiTheme="minorHAnsi" w:hAnsiTheme="minorHAnsi" w:eastAsiaTheme="minorEastAsia" w:cstheme="minorBidi"/>
            <w:kern w:val="2"/>
            <w:sz w:val="32"/>
            <w:szCs w:val="40"/>
            <w:lang w:val="en-US" w:eastAsia="zh-CN" w:bidi="ar-SA"/>
          </w:rPr>
          <m:t xml:space="preserve"> dt = 1</m:t>
        </m:r>
      </m:oMath>
    </w:p>
    <w:p w14:paraId="20ECC309">
      <w:pPr>
        <w:widowControl w:val="0"/>
        <w:ind w:firstLine="420" w:firstLineChars="200"/>
        <w:jc w:val="both"/>
        <w:rPr>
          <w:rFonts w:hint="eastAsia" w:hAnsiTheme="minorHAnsi" w:eastAsiaTheme="minorEastAsia" w:cstheme="minorBidi"/>
          <w:i w:val="0"/>
          <w:kern w:val="2"/>
          <w:sz w:val="21"/>
          <w:szCs w:val="24"/>
          <w:lang w:val="en-US" w:eastAsia="zh-CN" w:bidi="ar-SA"/>
        </w:rPr>
      </w:pPr>
    </w:p>
    <w:p w14:paraId="2306531A">
      <w:pPr>
        <w:keepNext w:val="0"/>
        <w:keepLines w:val="0"/>
        <w:pageBreakBefore w:val="0"/>
        <w:widowControl w:val="0"/>
        <w:kinsoku/>
        <w:wordWrap/>
        <w:overflowPunct/>
        <w:topLinePunct w:val="0"/>
        <w:autoSpaceDE/>
        <w:autoSpaceDN/>
        <w:bidi w:val="0"/>
        <w:adjustRightInd/>
        <w:snapToGrid/>
        <w:spacing w:beforeAutospacing="0" w:afterAutospacing="0" w:line="240" w:lineRule="atLeast"/>
        <w:ind w:firstLine="420" w:firstLineChars="200"/>
        <w:textAlignment w:val="auto"/>
        <w:rPr>
          <w:rFonts w:hint="eastAsia"/>
          <w:lang w:val="en-US" w:eastAsia="zh-CN"/>
        </w:rPr>
      </w:pPr>
      <w:r>
        <w:rPr>
          <w:rFonts w:hint="eastAsia"/>
          <w:lang w:val="en-US" w:eastAsia="zh-CN"/>
        </w:rPr>
        <w:t>其中，τ为在当前压力p(t)和温度T(t)条件下的着火延迟期。已有研究表明，Livengood-Wu积分法在正庚烷、异辛烷等碳氢燃料自燃延迟期的实验数据修正中表现出良好效果。</w:t>
      </w:r>
    </w:p>
    <w:p w14:paraId="2C2BAC0A">
      <w:pPr>
        <w:pStyle w:val="4"/>
        <w:keepNext w:val="0"/>
        <w:keepLines w:val="0"/>
        <w:pageBreakBefore w:val="0"/>
        <w:widowControl w:val="0"/>
        <w:kinsoku/>
        <w:wordWrap/>
        <w:overflowPunct/>
        <w:topLinePunct w:val="0"/>
        <w:autoSpaceDE/>
        <w:autoSpaceDN/>
        <w:bidi w:val="0"/>
        <w:adjustRightInd/>
        <w:snapToGrid/>
        <w:spacing w:beforeAutospacing="0" w:afterAutospacing="0" w:line="240" w:lineRule="atLeast"/>
        <w:textAlignment w:val="auto"/>
        <w:rPr>
          <w:rFonts w:hint="eastAsia"/>
          <w:lang w:val="en-US" w:eastAsia="zh-CN"/>
        </w:rPr>
      </w:pPr>
      <w:r>
        <w:rPr>
          <w:rFonts w:hint="eastAsia"/>
          <w:lang w:val="en-US" w:eastAsia="zh-CN"/>
        </w:rPr>
        <w:t>1.4研究空白与本工作定位</w:t>
      </w:r>
    </w:p>
    <w:p w14:paraId="0D8B415D">
      <w:pPr>
        <w:keepNext w:val="0"/>
        <w:keepLines w:val="0"/>
        <w:pageBreakBefore w:val="0"/>
        <w:widowControl w:val="0"/>
        <w:kinsoku/>
        <w:wordWrap/>
        <w:overflowPunct/>
        <w:topLinePunct w:val="0"/>
        <w:autoSpaceDE/>
        <w:autoSpaceDN/>
        <w:bidi w:val="0"/>
        <w:adjustRightInd/>
        <w:snapToGrid/>
        <w:spacing w:beforeAutospacing="0" w:afterAutospacing="0" w:line="240" w:lineRule="atLeast"/>
        <w:ind w:firstLine="420" w:firstLineChars="200"/>
        <w:textAlignment w:val="auto"/>
        <w:rPr>
          <w:rFonts w:hint="eastAsia"/>
          <w:lang w:val="en-US" w:eastAsia="zh-CN"/>
        </w:rPr>
      </w:pPr>
      <w:r>
        <w:rPr>
          <w:rFonts w:hint="eastAsia"/>
          <w:lang w:val="en-US" w:eastAsia="zh-CN"/>
        </w:rPr>
        <w:t>尽管Livengood-Wu积分法在传统碳氢燃料领域已得到较为广泛的应用[5]，但该方法在含能材料爆炸极限测定领域的研究较为空白。对于以硝基甲烷为代表的含氮含氧高能量密度燃料，其反应路径复杂、中间体种类繁多[6]，与碳氢燃料的燃烧特性存在显著差异。该修正方法在含能材料体系中的修正效能、适用边界以及与原始数据、模型预测数据的系统性对比评估，目前未见大量公开报道。</w:t>
      </w:r>
    </w:p>
    <w:p w14:paraId="7C23DB19">
      <w:pPr>
        <w:ind w:firstLine="420" w:firstLineChars="200"/>
        <w:rPr>
          <w:rFonts w:hint="eastAsia"/>
          <w:lang w:val="en-US" w:eastAsia="zh-CN"/>
        </w:rPr>
      </w:pPr>
      <w:r>
        <w:rPr>
          <w:rFonts w:hint="eastAsia"/>
          <w:lang w:val="en-US" w:eastAsia="zh-CN"/>
        </w:rPr>
        <w:t>针对上述研究空白，本文以硝基甲烷为典型含能燃料，首次将Livengood-Wu积分修正法引入含能材料爆炸极限测定领域。通过构建"原始数据——修正数据——模型预测数据"三源对比分析框架，系统评估该修正方法的精度提升效果与适用边界，为含能材料基础燃烧数据的高精度获取提供新方法。</w:t>
      </w:r>
    </w:p>
    <w:p w14:paraId="7DA651CA">
      <w:pPr>
        <w:pStyle w:val="3"/>
        <w:bidi w:val="0"/>
        <w:rPr>
          <w:rFonts w:hint="eastAsia"/>
          <w:lang w:val="en-US" w:eastAsia="zh-CN"/>
        </w:rPr>
      </w:pPr>
      <w:r>
        <w:rPr>
          <w:rFonts w:hint="eastAsia"/>
          <w:lang w:val="en-US" w:eastAsia="zh-CN"/>
        </w:rPr>
        <w:t>2研究原理和方法</w:t>
      </w:r>
    </w:p>
    <w:p w14:paraId="53AFB1CE">
      <w:pPr>
        <w:pStyle w:val="4"/>
        <w:bidi w:val="0"/>
        <w:rPr>
          <w:rFonts w:hint="eastAsia"/>
          <w:lang w:val="en-US" w:eastAsia="zh-CN"/>
        </w:rPr>
      </w:pPr>
      <w:r>
        <w:rPr>
          <w:rFonts w:hint="eastAsia"/>
          <w:lang w:val="en-US" w:eastAsia="zh-CN"/>
        </w:rPr>
        <w:t>2.1 实验装置和实验方案</w:t>
      </w:r>
    </w:p>
    <w:p w14:paraId="6A04D10F">
      <w:pPr>
        <w:numPr>
          <w:ilvl w:val="0"/>
          <w:numId w:val="0"/>
        </w:numPr>
        <w:ind w:firstLine="420" w:firstLineChars="200"/>
        <w:rPr>
          <w:rFonts w:hint="default"/>
          <w:lang w:val="en-US" w:eastAsia="zh-CN"/>
        </w:rPr>
      </w:pPr>
      <w:r>
        <w:rPr>
          <w:rFonts w:hint="default"/>
          <w:lang w:val="en-US" w:eastAsia="zh-CN"/>
        </w:rPr>
        <w:t>本研究的</w:t>
      </w:r>
      <w:r>
        <w:rPr>
          <w:rFonts w:hint="eastAsia"/>
          <w:lang w:val="en-US" w:eastAsia="zh-CN"/>
        </w:rPr>
        <w:t>原始实验数据获取</w:t>
      </w:r>
      <w:r>
        <w:rPr>
          <w:rFonts w:hint="default"/>
          <w:lang w:val="en-US" w:eastAsia="zh-CN"/>
        </w:rPr>
        <w:t>装置为快速压缩机，该设备能够模拟宽温度、宽压力范围内的燃料自燃过程，是目前获取燃料着火延迟期数据的主流实验手段。</w:t>
      </w:r>
      <w:r>
        <w:rPr>
          <w:rFonts w:hint="eastAsia"/>
          <w:lang w:val="en-US" w:eastAsia="zh-CN"/>
        </w:rPr>
        <w:t>本实验中</w:t>
      </w:r>
      <w:r>
        <w:rPr>
          <w:rFonts w:hint="default"/>
          <w:lang w:val="en-US" w:eastAsia="zh-CN"/>
        </w:rPr>
        <w:t>实验工况覆盖压力范围12至30巴、温度范围800至870开尔文。研究对象为硝基甲烷，这是含能材料中具有代表性的高能量密度燃料。</w:t>
      </w:r>
    </w:p>
    <w:p w14:paraId="38D30444">
      <w:pPr>
        <w:numPr>
          <w:ilvl w:val="0"/>
          <w:numId w:val="0"/>
        </w:numPr>
        <w:ind w:firstLine="420" w:firstLineChars="200"/>
        <w:rPr>
          <w:rFonts w:hint="eastAsia"/>
          <w:lang w:eastAsia="zh-CN"/>
        </w:rPr>
      </w:pPr>
      <w:r>
        <w:rPr>
          <w:rFonts w:hint="default"/>
          <w:lang w:val="en-US" w:eastAsia="zh-CN"/>
        </w:rPr>
        <w:t>快速压缩机的工作原理是通过快速压缩可燃混合气，使其在极短时间内达到高温高压状态，从而触发自燃反应。实验记录从压缩结束到着火发生的时间间隔，即着火延迟期。然而，快速压缩机实验在压缩冲程中不可避免地存在若干系统误差来源。首先，压缩过程中的热损失会导致部分热量传递到气缸壁，使实际温度低于理想绝热温度。其次，边界层效应造成近壁面区域温度分布不均匀，偏离均匀温度场的假设。此外，实际压缩过程并非严格的绝热过程，这些非理想因素共同导致实测数据偏离理想绝热条件，产生显著的系统误差。</w:t>
      </w:r>
    </w:p>
    <w:p w14:paraId="1D407D69">
      <w:pPr>
        <w:numPr>
          <w:ilvl w:val="0"/>
          <w:numId w:val="0"/>
        </w:numPr>
        <w:rPr>
          <w:rFonts w:hint="default"/>
          <w:lang w:val="en-US" w:eastAsia="zh-CN"/>
        </w:rPr>
      </w:pPr>
      <w:r>
        <w:rPr>
          <w:rFonts w:hint="default"/>
          <w:lang w:val="en-US" w:eastAsia="zh-CN"/>
        </w:rPr>
        <w:drawing>
          <wp:inline distT="0" distB="0" distL="114300" distR="114300">
            <wp:extent cx="5272405" cy="2599690"/>
            <wp:effectExtent l="0" t="0" r="10795" b="3810"/>
            <wp:docPr id="1" name="图片 1" descr="38acbb1cd6d3dbe3a4573ea46d092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8acbb1cd6d3dbe3a4573ea46d092c08"/>
                    <pic:cNvPicPr>
                      <a:picLocks noChangeAspect="1"/>
                    </pic:cNvPicPr>
                  </pic:nvPicPr>
                  <pic:blipFill>
                    <a:blip r:embed="rId4"/>
                    <a:stretch>
                      <a:fillRect/>
                    </a:stretch>
                  </pic:blipFill>
                  <pic:spPr>
                    <a:xfrm>
                      <a:off x="0" y="0"/>
                      <a:ext cx="5272405" cy="2599690"/>
                    </a:xfrm>
                    <a:prstGeom prst="rect">
                      <a:avLst/>
                    </a:prstGeom>
                  </pic:spPr>
                </pic:pic>
              </a:graphicData>
            </a:graphic>
          </wp:inline>
        </w:drawing>
      </w:r>
    </w:p>
    <w:p w14:paraId="62DDAC22">
      <w:pPr>
        <w:numPr>
          <w:ilvl w:val="0"/>
          <w:numId w:val="0"/>
        </w:numPr>
        <w:jc w:val="center"/>
        <w:rPr>
          <w:rFonts w:hint="default"/>
          <w:b/>
          <w:bCs/>
          <w:lang w:val="en-US" w:eastAsia="zh-CN"/>
        </w:rPr>
      </w:pPr>
      <w:r>
        <w:rPr>
          <w:rFonts w:hint="eastAsia"/>
          <w:b/>
          <w:bCs/>
          <w:lang w:val="en-US" w:eastAsia="zh-CN"/>
        </w:rPr>
        <w:t>Fig.1 快速压缩机结构示意图</w:t>
      </w:r>
    </w:p>
    <w:p w14:paraId="112E2B99">
      <w:pPr>
        <w:numPr>
          <w:ilvl w:val="0"/>
          <w:numId w:val="0"/>
        </w:numPr>
        <w:ind w:firstLine="420" w:firstLineChars="200"/>
        <w:rPr>
          <w:rFonts w:hint="eastAsia"/>
          <w:lang w:val="en-US" w:eastAsia="zh-CN"/>
        </w:rPr>
      </w:pPr>
      <w:r>
        <w:rPr>
          <w:rFonts w:hint="default"/>
          <w:lang w:val="en-US" w:eastAsia="zh-CN"/>
        </w:rPr>
        <w:t>在软件工具方面，本研究使用</w:t>
      </w:r>
      <w:r>
        <w:rPr>
          <w:rFonts w:hint="eastAsia"/>
          <w:lang w:val="en-US" w:eastAsia="zh-CN"/>
        </w:rPr>
        <w:t>vscode基于python的cartera等库</w:t>
      </w:r>
      <w:r>
        <w:rPr>
          <w:rFonts w:hint="default"/>
          <w:lang w:val="en-US" w:eastAsia="zh-CN"/>
        </w:rPr>
        <w:t>进行化学反应动力学模拟，生成模型预测的着火延迟期数据。同时，利用Python实现Livengood-Wu积分修正算法、动力学参数拟合以及多源数据对比分析。</w:t>
      </w:r>
    </w:p>
    <w:p w14:paraId="7D96F627">
      <w:pPr>
        <w:pStyle w:val="4"/>
        <w:keepNext w:val="0"/>
        <w:keepLines w:val="0"/>
        <w:pageBreakBefore w:val="0"/>
        <w:widowControl w:val="0"/>
        <w:kinsoku/>
        <w:wordWrap/>
        <w:overflowPunct/>
        <w:topLinePunct w:val="0"/>
        <w:autoSpaceDE/>
        <w:autoSpaceDN/>
        <w:bidi w:val="0"/>
        <w:adjustRightInd/>
        <w:snapToGrid/>
        <w:spacing w:beforeAutospacing="0" w:afterAutospacing="0" w:line="240" w:lineRule="atLeast"/>
        <w:textAlignment w:val="auto"/>
        <w:rPr>
          <w:rFonts w:hint="eastAsia"/>
          <w:lang w:val="en-US" w:eastAsia="zh-CN"/>
        </w:rPr>
      </w:pPr>
      <w:r>
        <w:rPr>
          <w:rFonts w:hint="eastAsia"/>
          <w:lang w:val="en-US" w:eastAsia="zh-CN"/>
        </w:rPr>
        <w:t>2.2实验过程</w:t>
      </w:r>
    </w:p>
    <w:p w14:paraId="75682DFF">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40" w:lineRule="atLeast"/>
        <w:textAlignment w:val="auto"/>
        <w:rPr>
          <w:rFonts w:hint="eastAsia"/>
          <w:lang w:val="en-US" w:eastAsia="zh-CN"/>
        </w:rPr>
      </w:pPr>
      <w:r>
        <w:rPr>
          <w:rFonts w:hint="eastAsia"/>
          <w:lang w:val="en-US" w:eastAsia="zh-CN"/>
        </w:rPr>
        <w:t>RCM原始数据获取</w:t>
      </w:r>
    </w:p>
    <w:p w14:paraId="251D0E2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tLeast"/>
        <w:ind w:firstLine="420" w:firstLineChars="200"/>
        <w:textAlignment w:val="auto"/>
        <w:rPr>
          <w:rFonts w:hint="eastAsia"/>
          <w:lang w:val="en-US" w:eastAsia="zh-CN"/>
        </w:rPr>
      </w:pPr>
      <w:r>
        <w:rPr>
          <w:rFonts w:hint="eastAsia"/>
          <w:lang w:val="en-US" w:eastAsia="zh-CN"/>
        </w:rPr>
        <w:t>小组通过联系课程组获得了硝基甲烷在（12~30bar/800~870K）工况下的燃烧数据。对这部分数据进行整理，归纳出硝基甲烷的不同工况下的燃烧数据。</w:t>
      </w:r>
    </w:p>
    <w:p w14:paraId="36E0D21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tLeast"/>
        <w:ind w:firstLine="420" w:firstLineChars="200"/>
        <w:textAlignment w:val="auto"/>
        <w:rPr>
          <w:rFonts w:hint="eastAsia"/>
          <w:lang w:val="en-US" w:eastAsia="zh-CN"/>
        </w:rPr>
      </w:pPr>
      <w:r>
        <w:rPr>
          <w:rFonts w:hint="eastAsia"/>
          <w:lang w:val="en-US" w:eastAsia="zh-CN"/>
        </w:rPr>
        <w:t>数据整理部分展示如下（燃料：CH</w:t>
      </w:r>
      <w:r>
        <w:rPr>
          <w:rFonts w:hint="eastAsia"/>
          <w:vertAlign w:val="subscript"/>
          <w:lang w:val="en-US" w:eastAsia="zh-CN"/>
        </w:rPr>
        <w:t>3</w:t>
      </w:r>
      <w:r>
        <w:rPr>
          <w:rFonts w:hint="eastAsia"/>
          <w:lang w:val="en-US" w:eastAsia="zh-CN"/>
        </w:rPr>
        <w:t>NO</w:t>
      </w:r>
      <w:r>
        <w:rPr>
          <w:rFonts w:hint="eastAsia"/>
          <w:vertAlign w:val="subscript"/>
          <w:lang w:val="en-US" w:eastAsia="zh-CN"/>
        </w:rPr>
        <w:t>2</w:t>
      </w:r>
      <w:r>
        <w:rPr>
          <w:rFonts w:hint="eastAsia"/>
          <w:lang w:val="en-US" w:eastAsia="zh-CN"/>
        </w:rPr>
        <w:t>）</w:t>
      </w:r>
    </w:p>
    <w:p w14:paraId="53E1E1D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tLeast"/>
        <w:textAlignment w:val="auto"/>
        <w:rPr>
          <w:rFonts w:hint="eastAsia"/>
          <w:lang w:val="en-US" w:eastAsia="zh-CN"/>
        </w:rPr>
      </w:pPr>
    </w:p>
    <w:tbl>
      <w:tblPr>
        <w:tblStyle w:val="8"/>
        <w:tblW w:w="866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2"/>
        <w:gridCol w:w="841"/>
        <w:gridCol w:w="879"/>
        <w:gridCol w:w="788"/>
        <w:gridCol w:w="910"/>
        <w:gridCol w:w="1400"/>
        <w:gridCol w:w="1750"/>
        <w:gridCol w:w="1727"/>
      </w:tblGrid>
      <w:tr w14:paraId="733D5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37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A81071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lang w:val="en-US" w:eastAsia="zh-CN"/>
              </w:rPr>
            </w:pPr>
            <w:r>
              <w:rPr>
                <w:rFonts w:hint="eastAsia" w:ascii="宋体" w:hAnsi="宋体" w:eastAsia="宋体" w:cs="宋体"/>
                <w:b/>
                <w:i w:val="0"/>
                <w:iCs w:val="0"/>
                <w:color w:val="000000"/>
                <w:sz w:val="22"/>
                <w:szCs w:val="22"/>
                <w:u w:val="none"/>
                <w:lang w:val="en-US" w:eastAsia="zh-CN"/>
              </w:rPr>
              <w:t>φ</w:t>
            </w:r>
          </w:p>
        </w:tc>
        <w:tc>
          <w:tcPr>
            <w:tcW w:w="84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A870D8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Dilution</w:t>
            </w:r>
          </w:p>
        </w:tc>
        <w:tc>
          <w:tcPr>
            <w:tcW w:w="87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A8BCC2A">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b/>
                <w:i w:val="0"/>
                <w:iCs w:val="0"/>
                <w:color w:val="000000"/>
                <w:sz w:val="22"/>
                <w:szCs w:val="22"/>
                <w:u w:val="none"/>
                <w:lang w:val="en-US"/>
              </w:rPr>
            </w:pPr>
            <w:r>
              <w:rPr>
                <w:rFonts w:hint="eastAsia" w:ascii="宋体" w:hAnsi="宋体" w:eastAsia="宋体" w:cs="宋体"/>
                <w:b/>
                <w:i w:val="0"/>
                <w:iCs w:val="0"/>
                <w:color w:val="000000"/>
                <w:kern w:val="0"/>
                <w:sz w:val="22"/>
                <w:szCs w:val="22"/>
                <w:u w:val="none"/>
                <w:lang w:val="en-US" w:eastAsia="zh-CN" w:bidi="ar"/>
              </w:rPr>
              <w:t>T/K</w:t>
            </w:r>
          </w:p>
        </w:tc>
        <w:tc>
          <w:tcPr>
            <w:tcW w:w="78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AB7AB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P/bar</w:t>
            </w:r>
          </w:p>
        </w:tc>
        <w:tc>
          <w:tcPr>
            <w:tcW w:w="91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DB93C3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IDT/ms</w:t>
            </w:r>
          </w:p>
        </w:tc>
        <w:tc>
          <w:tcPr>
            <w:tcW w:w="140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C900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fuel_molarfraction</w:t>
            </w:r>
          </w:p>
        </w:tc>
        <w:tc>
          <w:tcPr>
            <w:tcW w:w="175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EF350D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oxidant_molarfraction</w:t>
            </w:r>
          </w:p>
        </w:tc>
        <w:tc>
          <w:tcPr>
            <w:tcW w:w="172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D77891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2"/>
                <w:szCs w:val="22"/>
                <w:u w:val="none"/>
              </w:rPr>
            </w:pPr>
            <w:r>
              <w:rPr>
                <w:rFonts w:hint="eastAsia" w:ascii="宋体" w:hAnsi="宋体" w:eastAsia="宋体" w:cs="宋体"/>
                <w:b/>
                <w:i w:val="0"/>
                <w:iCs w:val="0"/>
                <w:color w:val="000000"/>
                <w:kern w:val="0"/>
                <w:sz w:val="22"/>
                <w:szCs w:val="22"/>
                <w:u w:val="none"/>
                <w:lang w:val="en-US" w:eastAsia="zh-CN" w:bidi="ar"/>
              </w:rPr>
              <w:t>diluent_molarfraction</w:t>
            </w:r>
          </w:p>
        </w:tc>
      </w:tr>
      <w:tr w14:paraId="30CE0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7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6B0270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84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8213E8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78.2</w:t>
            </w:r>
          </w:p>
        </w:tc>
        <w:tc>
          <w:tcPr>
            <w:tcW w:w="87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8FE655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812.84</w:t>
            </w:r>
          </w:p>
        </w:tc>
        <w:tc>
          <w:tcPr>
            <w:tcW w:w="78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444583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29.94</w:t>
            </w:r>
          </w:p>
        </w:tc>
        <w:tc>
          <w:tcPr>
            <w:tcW w:w="91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E67990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209.48</w:t>
            </w:r>
          </w:p>
        </w:tc>
        <w:tc>
          <w:tcPr>
            <w:tcW w:w="140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CE0D9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w:t>
            </w:r>
          </w:p>
        </w:tc>
        <w:tc>
          <w:tcPr>
            <w:tcW w:w="175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31536E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0.0125</w:t>
            </w:r>
          </w:p>
        </w:tc>
        <w:tc>
          <w:tcPr>
            <w:tcW w:w="172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711984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0.9775</w:t>
            </w:r>
          </w:p>
        </w:tc>
      </w:tr>
      <w:tr w14:paraId="577C9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72" w:type="dxa"/>
            <w:tcBorders>
              <w:top w:val="nil"/>
              <w:left w:val="nil"/>
              <w:bottom w:val="nil"/>
              <w:right w:val="nil"/>
            </w:tcBorders>
            <w:shd w:val="clear" w:color="auto" w:fill="auto"/>
            <w:noWrap w:val="0"/>
            <w:tcMar>
              <w:top w:w="-1" w:type="dxa"/>
              <w:left w:w="-1" w:type="dxa"/>
              <w:bottom w:w="-1" w:type="dxa"/>
              <w:right w:w="-1" w:type="dxa"/>
            </w:tcMar>
            <w:vAlign w:val="center"/>
          </w:tcPr>
          <w:p w14:paraId="09C150B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841" w:type="dxa"/>
            <w:tcBorders>
              <w:top w:val="nil"/>
              <w:left w:val="nil"/>
              <w:bottom w:val="nil"/>
              <w:right w:val="nil"/>
            </w:tcBorders>
            <w:shd w:val="clear" w:color="auto" w:fill="auto"/>
            <w:noWrap w:val="0"/>
            <w:tcMar>
              <w:top w:w="-1" w:type="dxa"/>
              <w:left w:w="-1" w:type="dxa"/>
              <w:bottom w:w="-1" w:type="dxa"/>
              <w:right w:w="-1" w:type="dxa"/>
            </w:tcMar>
            <w:vAlign w:val="center"/>
          </w:tcPr>
          <w:p w14:paraId="2285E02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78.2</w:t>
            </w:r>
          </w:p>
        </w:tc>
        <w:tc>
          <w:tcPr>
            <w:tcW w:w="879" w:type="dxa"/>
            <w:tcBorders>
              <w:top w:val="nil"/>
              <w:left w:val="nil"/>
              <w:bottom w:val="nil"/>
              <w:right w:val="nil"/>
            </w:tcBorders>
            <w:shd w:val="clear" w:color="auto" w:fill="auto"/>
            <w:noWrap w:val="0"/>
            <w:tcMar>
              <w:top w:w="-1" w:type="dxa"/>
              <w:left w:w="-1" w:type="dxa"/>
              <w:bottom w:w="-1" w:type="dxa"/>
              <w:right w:w="-1" w:type="dxa"/>
            </w:tcMar>
            <w:vAlign w:val="center"/>
          </w:tcPr>
          <w:p w14:paraId="636C95B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813.36</w:t>
            </w:r>
          </w:p>
        </w:tc>
        <w:tc>
          <w:tcPr>
            <w:tcW w:w="788" w:type="dxa"/>
            <w:tcBorders>
              <w:top w:val="nil"/>
              <w:left w:val="nil"/>
              <w:bottom w:val="nil"/>
              <w:right w:val="nil"/>
            </w:tcBorders>
            <w:shd w:val="clear" w:color="auto" w:fill="auto"/>
            <w:noWrap w:val="0"/>
            <w:tcMar>
              <w:top w:w="-1" w:type="dxa"/>
              <w:left w:w="-1" w:type="dxa"/>
              <w:bottom w:w="-1" w:type="dxa"/>
              <w:right w:w="-1" w:type="dxa"/>
            </w:tcMar>
            <w:vAlign w:val="center"/>
          </w:tcPr>
          <w:p w14:paraId="0C30D42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28.75</w:t>
            </w:r>
          </w:p>
        </w:tc>
        <w:tc>
          <w:tcPr>
            <w:tcW w:w="910" w:type="dxa"/>
            <w:tcBorders>
              <w:top w:val="nil"/>
              <w:left w:val="nil"/>
              <w:bottom w:val="nil"/>
              <w:right w:val="nil"/>
            </w:tcBorders>
            <w:shd w:val="clear" w:color="auto" w:fill="auto"/>
            <w:noWrap w:val="0"/>
            <w:tcMar>
              <w:top w:w="-1" w:type="dxa"/>
              <w:left w:w="-1" w:type="dxa"/>
              <w:bottom w:w="-1" w:type="dxa"/>
              <w:right w:w="-1" w:type="dxa"/>
            </w:tcMar>
            <w:vAlign w:val="center"/>
          </w:tcPr>
          <w:p w14:paraId="42252F4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206.37</w:t>
            </w:r>
          </w:p>
        </w:tc>
        <w:tc>
          <w:tcPr>
            <w:tcW w:w="1400" w:type="dxa"/>
            <w:tcBorders>
              <w:top w:val="nil"/>
              <w:left w:val="nil"/>
              <w:bottom w:val="nil"/>
              <w:right w:val="nil"/>
            </w:tcBorders>
            <w:shd w:val="clear" w:color="auto" w:fill="auto"/>
            <w:noWrap w:val="0"/>
            <w:tcMar>
              <w:top w:w="-1" w:type="dxa"/>
              <w:left w:w="-1" w:type="dxa"/>
              <w:bottom w:w="-1" w:type="dxa"/>
              <w:right w:w="-1" w:type="dxa"/>
            </w:tcMar>
            <w:vAlign w:val="center"/>
          </w:tcPr>
          <w:p w14:paraId="63B3445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w:t>
            </w:r>
          </w:p>
        </w:tc>
        <w:tc>
          <w:tcPr>
            <w:tcW w:w="1750" w:type="dxa"/>
            <w:tcBorders>
              <w:top w:val="nil"/>
              <w:left w:val="nil"/>
              <w:bottom w:val="nil"/>
              <w:right w:val="nil"/>
            </w:tcBorders>
            <w:shd w:val="clear" w:color="auto" w:fill="auto"/>
            <w:noWrap w:val="0"/>
            <w:tcMar>
              <w:top w:w="-1" w:type="dxa"/>
              <w:left w:w="-1" w:type="dxa"/>
              <w:bottom w:w="-1" w:type="dxa"/>
              <w:right w:w="-1" w:type="dxa"/>
            </w:tcMar>
            <w:vAlign w:val="center"/>
          </w:tcPr>
          <w:p w14:paraId="3935600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0.0125</w:t>
            </w:r>
          </w:p>
        </w:tc>
        <w:tc>
          <w:tcPr>
            <w:tcW w:w="1727" w:type="dxa"/>
            <w:tcBorders>
              <w:top w:val="nil"/>
              <w:left w:val="nil"/>
              <w:bottom w:val="nil"/>
              <w:right w:val="nil"/>
            </w:tcBorders>
            <w:shd w:val="clear" w:color="auto" w:fill="auto"/>
            <w:noWrap w:val="0"/>
            <w:tcMar>
              <w:top w:w="-1" w:type="dxa"/>
              <w:left w:w="-1" w:type="dxa"/>
              <w:bottom w:w="-1" w:type="dxa"/>
              <w:right w:w="-1" w:type="dxa"/>
            </w:tcMar>
            <w:vAlign w:val="center"/>
          </w:tcPr>
          <w:p w14:paraId="41FCE36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0.9775</w:t>
            </w:r>
          </w:p>
        </w:tc>
      </w:tr>
      <w:tr w14:paraId="1135E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72" w:type="dxa"/>
            <w:tcBorders>
              <w:top w:val="nil"/>
              <w:left w:val="nil"/>
              <w:bottom w:val="nil"/>
              <w:right w:val="nil"/>
            </w:tcBorders>
            <w:shd w:val="clear" w:color="auto" w:fill="auto"/>
            <w:noWrap w:val="0"/>
            <w:tcMar>
              <w:top w:w="-1" w:type="dxa"/>
              <w:left w:w="-1" w:type="dxa"/>
              <w:bottom w:w="-1" w:type="dxa"/>
              <w:right w:w="-1" w:type="dxa"/>
            </w:tcMar>
            <w:vAlign w:val="center"/>
          </w:tcPr>
          <w:p w14:paraId="7BCB29B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841" w:type="dxa"/>
            <w:tcBorders>
              <w:top w:val="nil"/>
              <w:left w:val="nil"/>
              <w:bottom w:val="nil"/>
              <w:right w:val="nil"/>
            </w:tcBorders>
            <w:shd w:val="clear" w:color="auto" w:fill="auto"/>
            <w:noWrap w:val="0"/>
            <w:tcMar>
              <w:top w:w="-1" w:type="dxa"/>
              <w:left w:w="-1" w:type="dxa"/>
              <w:bottom w:w="-1" w:type="dxa"/>
              <w:right w:w="-1" w:type="dxa"/>
            </w:tcMar>
            <w:vAlign w:val="center"/>
          </w:tcPr>
          <w:p w14:paraId="1CBFE8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78.2</w:t>
            </w:r>
          </w:p>
        </w:tc>
        <w:tc>
          <w:tcPr>
            <w:tcW w:w="879" w:type="dxa"/>
            <w:tcBorders>
              <w:top w:val="nil"/>
              <w:left w:val="nil"/>
              <w:bottom w:val="nil"/>
              <w:right w:val="nil"/>
            </w:tcBorders>
            <w:shd w:val="clear" w:color="auto" w:fill="auto"/>
            <w:noWrap w:val="0"/>
            <w:tcMar>
              <w:top w:w="-1" w:type="dxa"/>
              <w:left w:w="-1" w:type="dxa"/>
              <w:bottom w:w="-1" w:type="dxa"/>
              <w:right w:w="-1" w:type="dxa"/>
            </w:tcMar>
            <w:vAlign w:val="center"/>
          </w:tcPr>
          <w:p w14:paraId="66C1586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821.73</w:t>
            </w:r>
          </w:p>
        </w:tc>
        <w:tc>
          <w:tcPr>
            <w:tcW w:w="788" w:type="dxa"/>
            <w:tcBorders>
              <w:top w:val="nil"/>
              <w:left w:val="nil"/>
              <w:bottom w:val="nil"/>
              <w:right w:val="nil"/>
            </w:tcBorders>
            <w:shd w:val="clear" w:color="auto" w:fill="auto"/>
            <w:noWrap w:val="0"/>
            <w:tcMar>
              <w:top w:w="-1" w:type="dxa"/>
              <w:left w:w="-1" w:type="dxa"/>
              <w:bottom w:w="-1" w:type="dxa"/>
              <w:right w:w="-1" w:type="dxa"/>
            </w:tcMar>
            <w:vAlign w:val="center"/>
          </w:tcPr>
          <w:p w14:paraId="34AE6B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29.84</w:t>
            </w:r>
          </w:p>
        </w:tc>
        <w:tc>
          <w:tcPr>
            <w:tcW w:w="910" w:type="dxa"/>
            <w:tcBorders>
              <w:top w:val="nil"/>
              <w:left w:val="nil"/>
              <w:bottom w:val="nil"/>
              <w:right w:val="nil"/>
            </w:tcBorders>
            <w:shd w:val="clear" w:color="auto" w:fill="auto"/>
            <w:noWrap w:val="0"/>
            <w:tcMar>
              <w:top w:w="-1" w:type="dxa"/>
              <w:left w:w="-1" w:type="dxa"/>
              <w:bottom w:w="-1" w:type="dxa"/>
              <w:right w:w="-1" w:type="dxa"/>
            </w:tcMar>
            <w:vAlign w:val="center"/>
          </w:tcPr>
          <w:p w14:paraId="6BB7F63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152.42</w:t>
            </w:r>
          </w:p>
        </w:tc>
        <w:tc>
          <w:tcPr>
            <w:tcW w:w="1400" w:type="dxa"/>
            <w:tcBorders>
              <w:top w:val="nil"/>
              <w:left w:val="nil"/>
              <w:bottom w:val="nil"/>
              <w:right w:val="nil"/>
            </w:tcBorders>
            <w:shd w:val="clear" w:color="auto" w:fill="auto"/>
            <w:noWrap w:val="0"/>
            <w:tcMar>
              <w:top w:w="-1" w:type="dxa"/>
              <w:left w:w="-1" w:type="dxa"/>
              <w:bottom w:w="-1" w:type="dxa"/>
              <w:right w:w="-1" w:type="dxa"/>
            </w:tcMar>
            <w:vAlign w:val="center"/>
          </w:tcPr>
          <w:p w14:paraId="39FB30C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w:t>
            </w:r>
          </w:p>
        </w:tc>
        <w:tc>
          <w:tcPr>
            <w:tcW w:w="1750" w:type="dxa"/>
            <w:tcBorders>
              <w:top w:val="nil"/>
              <w:left w:val="nil"/>
              <w:bottom w:val="nil"/>
              <w:right w:val="nil"/>
            </w:tcBorders>
            <w:shd w:val="clear" w:color="auto" w:fill="auto"/>
            <w:noWrap w:val="0"/>
            <w:tcMar>
              <w:top w:w="-1" w:type="dxa"/>
              <w:left w:w="-1" w:type="dxa"/>
              <w:bottom w:w="-1" w:type="dxa"/>
              <w:right w:w="-1" w:type="dxa"/>
            </w:tcMar>
            <w:vAlign w:val="center"/>
          </w:tcPr>
          <w:p w14:paraId="18E8C6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0.0125</w:t>
            </w:r>
          </w:p>
        </w:tc>
        <w:tc>
          <w:tcPr>
            <w:tcW w:w="1727" w:type="dxa"/>
            <w:tcBorders>
              <w:top w:val="nil"/>
              <w:left w:val="nil"/>
              <w:bottom w:val="nil"/>
              <w:right w:val="nil"/>
            </w:tcBorders>
            <w:shd w:val="clear" w:color="auto" w:fill="auto"/>
            <w:noWrap w:val="0"/>
            <w:tcMar>
              <w:top w:w="-1" w:type="dxa"/>
              <w:left w:w="-1" w:type="dxa"/>
              <w:bottom w:w="-1" w:type="dxa"/>
              <w:right w:w="-1" w:type="dxa"/>
            </w:tcMar>
            <w:vAlign w:val="center"/>
          </w:tcPr>
          <w:p w14:paraId="58825BF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0.9775</w:t>
            </w:r>
          </w:p>
        </w:tc>
      </w:tr>
      <w:tr w14:paraId="08335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372" w:type="dxa"/>
            <w:tcBorders>
              <w:top w:val="nil"/>
              <w:left w:val="nil"/>
              <w:bottom w:val="nil"/>
              <w:right w:val="nil"/>
            </w:tcBorders>
            <w:shd w:val="clear" w:color="auto" w:fill="auto"/>
            <w:noWrap w:val="0"/>
            <w:tcMar>
              <w:top w:w="-1" w:type="dxa"/>
              <w:left w:w="-1" w:type="dxa"/>
              <w:bottom w:w="-1" w:type="dxa"/>
              <w:right w:w="-1" w:type="dxa"/>
            </w:tcMar>
            <w:vAlign w:val="center"/>
          </w:tcPr>
          <w:p w14:paraId="04318E4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841" w:type="dxa"/>
            <w:tcBorders>
              <w:top w:val="nil"/>
              <w:left w:val="nil"/>
              <w:bottom w:val="nil"/>
              <w:right w:val="nil"/>
            </w:tcBorders>
            <w:shd w:val="clear" w:color="auto" w:fill="auto"/>
            <w:noWrap w:val="0"/>
            <w:tcMar>
              <w:top w:w="-1" w:type="dxa"/>
              <w:left w:w="-1" w:type="dxa"/>
              <w:bottom w:w="-1" w:type="dxa"/>
              <w:right w:w="-1" w:type="dxa"/>
            </w:tcMar>
            <w:vAlign w:val="center"/>
          </w:tcPr>
          <w:p w14:paraId="32B3CF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78.2</w:t>
            </w:r>
          </w:p>
        </w:tc>
        <w:tc>
          <w:tcPr>
            <w:tcW w:w="879" w:type="dxa"/>
            <w:tcBorders>
              <w:top w:val="nil"/>
              <w:left w:val="nil"/>
              <w:bottom w:val="nil"/>
              <w:right w:val="nil"/>
            </w:tcBorders>
            <w:shd w:val="clear" w:color="auto" w:fill="auto"/>
            <w:noWrap w:val="0"/>
            <w:tcMar>
              <w:top w:w="-1" w:type="dxa"/>
              <w:left w:w="-1" w:type="dxa"/>
              <w:bottom w:w="-1" w:type="dxa"/>
              <w:right w:w="-1" w:type="dxa"/>
            </w:tcMar>
            <w:vAlign w:val="center"/>
          </w:tcPr>
          <w:p w14:paraId="482D5F1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822.22</w:t>
            </w:r>
          </w:p>
        </w:tc>
        <w:tc>
          <w:tcPr>
            <w:tcW w:w="788" w:type="dxa"/>
            <w:tcBorders>
              <w:top w:val="nil"/>
              <w:left w:val="nil"/>
              <w:bottom w:val="nil"/>
              <w:right w:val="nil"/>
            </w:tcBorders>
            <w:shd w:val="clear" w:color="auto" w:fill="auto"/>
            <w:noWrap w:val="0"/>
            <w:tcMar>
              <w:top w:w="-1" w:type="dxa"/>
              <w:left w:w="-1" w:type="dxa"/>
              <w:bottom w:w="-1" w:type="dxa"/>
              <w:right w:w="-1" w:type="dxa"/>
            </w:tcMar>
            <w:vAlign w:val="center"/>
          </w:tcPr>
          <w:p w14:paraId="41682E7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29.03</w:t>
            </w:r>
          </w:p>
        </w:tc>
        <w:tc>
          <w:tcPr>
            <w:tcW w:w="910" w:type="dxa"/>
            <w:tcBorders>
              <w:top w:val="nil"/>
              <w:left w:val="nil"/>
              <w:bottom w:val="nil"/>
              <w:right w:val="nil"/>
            </w:tcBorders>
            <w:shd w:val="clear" w:color="auto" w:fill="auto"/>
            <w:noWrap w:val="0"/>
            <w:tcMar>
              <w:top w:w="-1" w:type="dxa"/>
              <w:left w:w="-1" w:type="dxa"/>
              <w:bottom w:w="-1" w:type="dxa"/>
              <w:right w:w="-1" w:type="dxa"/>
            </w:tcMar>
            <w:vAlign w:val="center"/>
          </w:tcPr>
          <w:p w14:paraId="56A6D70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160.1</w:t>
            </w:r>
          </w:p>
        </w:tc>
        <w:tc>
          <w:tcPr>
            <w:tcW w:w="1400" w:type="dxa"/>
            <w:tcBorders>
              <w:top w:val="nil"/>
              <w:left w:val="nil"/>
              <w:bottom w:val="nil"/>
              <w:right w:val="nil"/>
            </w:tcBorders>
            <w:shd w:val="clear" w:color="auto" w:fill="auto"/>
            <w:noWrap w:val="0"/>
            <w:tcMar>
              <w:top w:w="-1" w:type="dxa"/>
              <w:left w:w="-1" w:type="dxa"/>
              <w:bottom w:w="-1" w:type="dxa"/>
              <w:right w:w="-1" w:type="dxa"/>
            </w:tcMar>
            <w:vAlign w:val="center"/>
          </w:tcPr>
          <w:p w14:paraId="02CFE0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w:t>
            </w:r>
          </w:p>
        </w:tc>
        <w:tc>
          <w:tcPr>
            <w:tcW w:w="1750" w:type="dxa"/>
            <w:tcBorders>
              <w:top w:val="nil"/>
              <w:left w:val="nil"/>
              <w:bottom w:val="nil"/>
              <w:right w:val="nil"/>
            </w:tcBorders>
            <w:shd w:val="clear" w:color="auto" w:fill="auto"/>
            <w:noWrap w:val="0"/>
            <w:tcMar>
              <w:top w:w="-1" w:type="dxa"/>
              <w:left w:w="-1" w:type="dxa"/>
              <w:bottom w:w="-1" w:type="dxa"/>
              <w:right w:w="-1" w:type="dxa"/>
            </w:tcMar>
            <w:vAlign w:val="center"/>
          </w:tcPr>
          <w:p w14:paraId="3401FE7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0.0125</w:t>
            </w:r>
          </w:p>
        </w:tc>
        <w:tc>
          <w:tcPr>
            <w:tcW w:w="1727" w:type="dxa"/>
            <w:tcBorders>
              <w:top w:val="nil"/>
              <w:left w:val="nil"/>
              <w:bottom w:val="nil"/>
              <w:right w:val="nil"/>
            </w:tcBorders>
            <w:shd w:val="clear" w:color="auto" w:fill="auto"/>
            <w:noWrap w:val="0"/>
            <w:tcMar>
              <w:top w:w="-1" w:type="dxa"/>
              <w:left w:w="-1" w:type="dxa"/>
              <w:bottom w:w="-1" w:type="dxa"/>
              <w:right w:w="-1" w:type="dxa"/>
            </w:tcMar>
            <w:vAlign w:val="center"/>
          </w:tcPr>
          <w:p w14:paraId="7B2DD5A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0.9775</w:t>
            </w:r>
          </w:p>
        </w:tc>
      </w:tr>
      <w:tr w14:paraId="2926B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37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2E23E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84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DB5DC9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78.2</w:t>
            </w:r>
          </w:p>
        </w:tc>
        <w:tc>
          <w:tcPr>
            <w:tcW w:w="87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BDB8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835.95</w:t>
            </w:r>
          </w:p>
        </w:tc>
        <w:tc>
          <w:tcPr>
            <w:tcW w:w="78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019162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29.96</w:t>
            </w:r>
          </w:p>
        </w:tc>
        <w:tc>
          <w:tcPr>
            <w:tcW w:w="91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37707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61.15</w:t>
            </w:r>
          </w:p>
        </w:tc>
        <w:tc>
          <w:tcPr>
            <w:tcW w:w="140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D8F326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w:t>
            </w:r>
          </w:p>
        </w:tc>
        <w:tc>
          <w:tcPr>
            <w:tcW w:w="175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C7D15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0.0125</w:t>
            </w:r>
          </w:p>
        </w:tc>
        <w:tc>
          <w:tcPr>
            <w:tcW w:w="172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9B6F8D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0.9775</w:t>
            </w:r>
          </w:p>
        </w:tc>
      </w:tr>
    </w:tbl>
    <w:p w14:paraId="47EA6986">
      <w:pPr>
        <w:keepNext w:val="0"/>
        <w:keepLines w:val="0"/>
        <w:pageBreakBefore w:val="0"/>
        <w:numPr>
          <w:ilvl w:val="0"/>
          <w:numId w:val="0"/>
        </w:numPr>
        <w:kinsoku/>
        <w:wordWrap/>
        <w:overflowPunct/>
        <w:topLinePunct w:val="0"/>
        <w:autoSpaceDE/>
        <w:autoSpaceDN/>
        <w:bidi w:val="0"/>
        <w:adjustRightInd/>
        <w:snapToGrid/>
        <w:textAlignment w:val="auto"/>
        <w:rPr>
          <w:rFonts w:hint="eastAsia"/>
          <w:lang w:val="en-US" w:eastAsia="zh-CN"/>
        </w:rPr>
      </w:pPr>
    </w:p>
    <w:p w14:paraId="31F308CC">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0" w:leftChars="0" w:firstLine="0" w:firstLineChars="0"/>
        <w:textAlignment w:val="auto"/>
        <w:rPr>
          <w:rFonts w:hint="eastAsia"/>
          <w:lang w:val="en-US" w:eastAsia="zh-CN"/>
        </w:rPr>
      </w:pPr>
      <w:r>
        <w:rPr>
          <w:rFonts w:hint="eastAsia"/>
          <w:lang w:val="en-US" w:eastAsia="zh-CN"/>
        </w:rPr>
        <w:t>模型建立</w:t>
      </w:r>
    </w:p>
    <w:p w14:paraId="22694DCE">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firstLine="420" w:firstLineChars="200"/>
        <w:textAlignment w:val="auto"/>
        <w:rPr>
          <w:rFonts w:hint="eastAsia"/>
          <w:lang w:val="en-US" w:eastAsia="zh-CN"/>
        </w:rPr>
      </w:pPr>
      <w:r>
        <w:rPr>
          <w:rFonts w:hint="eastAsia"/>
          <w:lang w:val="en-US" w:eastAsia="zh-CN"/>
        </w:rPr>
        <w:t>我们</w:t>
      </w:r>
      <w:r>
        <w:rPr>
          <w:rFonts w:hint="default"/>
          <w:lang w:val="en-US" w:eastAsia="zh-CN"/>
        </w:rPr>
        <w:t>采用</w:t>
      </w:r>
      <w:r>
        <w:rPr>
          <w:rFonts w:hint="eastAsia"/>
          <w:lang w:val="en-US" w:eastAsia="zh-CN"/>
        </w:rPr>
        <w:t>了</w:t>
      </w:r>
      <w:r>
        <w:rPr>
          <w:rFonts w:hint="default"/>
          <w:lang w:val="en-US" w:eastAsia="zh-CN"/>
        </w:rPr>
        <w:t>零维均相反应器模型结合详细化学反应机理，通过大规模并行数值模拟构建燃料点火特性数据集，为燃烧极限预测模型提供训练样本。</w:t>
      </w:r>
    </w:p>
    <w:p w14:paraId="593B26CE">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firstLine="420" w:firstLineChars="200"/>
        <w:textAlignment w:val="auto"/>
        <w:rPr>
          <w:rFonts w:hint="default"/>
          <w:lang w:val="en-US" w:eastAsia="zh-CN"/>
        </w:rPr>
      </w:pPr>
      <w:r>
        <w:rPr>
          <w:rFonts w:hint="eastAsia"/>
          <w:lang w:val="en-US" w:eastAsia="zh-CN"/>
        </w:rPr>
        <w:t>由于</w:t>
      </w:r>
      <w:r>
        <w:rPr>
          <w:rFonts w:hint="default"/>
          <w:lang w:val="en-US" w:eastAsia="zh-CN"/>
        </w:rPr>
        <w:t>数据集覆盖当量比、稀释比、初始温度与初始压力四维参数空间</w:t>
      </w:r>
      <w:r>
        <w:rPr>
          <w:rFonts w:hint="eastAsia"/>
          <w:lang w:val="en-US" w:eastAsia="zh-CN"/>
        </w:rPr>
        <w:t>，</w:t>
      </w:r>
      <w:r>
        <w:rPr>
          <w:rFonts w:hint="default"/>
          <w:lang w:val="en-US" w:eastAsia="zh-CN"/>
        </w:rPr>
        <w:t>鉴于点火延迟时间随温度呈指数变化，采用倒数温度（1000/T）均匀采样策略，在1000/T空间随机取值换算为T，确保IDT在对数坐标下均匀分布，提升模型在宽温度范围的泛化能力。</w:t>
      </w:r>
    </w:p>
    <w:p w14:paraId="306980A7">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firstLine="420" w:firstLineChars="200"/>
        <w:textAlignment w:val="auto"/>
        <w:rPr>
          <w:rFonts w:hint="eastAsia"/>
          <w:lang w:val="en-US" w:eastAsia="zh-CN"/>
        </w:rPr>
      </w:pPr>
      <w:r>
        <w:rPr>
          <w:rFonts w:hint="eastAsia"/>
          <w:lang w:val="en-US" w:eastAsia="zh-CN"/>
        </w:rPr>
        <w:t>此外，我们</w:t>
      </w:r>
      <w:r>
        <w:rPr>
          <w:rFonts w:hint="default"/>
          <w:lang w:val="en-US" w:eastAsia="zh-CN"/>
        </w:rPr>
        <w:t>基于Cantera构建绝热恒压零维反应器，采用自适应时间步长求解刚性化学反应方程组</w:t>
      </w:r>
      <w:r>
        <w:rPr>
          <w:rFonts w:hint="eastAsia"/>
          <w:lang w:val="en-US" w:eastAsia="zh-CN"/>
        </w:rPr>
        <w:t>，且</w:t>
      </w:r>
      <w:r>
        <w:rPr>
          <w:rFonts w:hint="default"/>
          <w:lang w:val="en-US" w:eastAsia="zh-CN"/>
        </w:rPr>
        <w:t>仅记录时间间隔大于预设阈值的数据点进行稀疏存储。</w:t>
      </w:r>
      <w:r>
        <w:rPr>
          <w:rFonts w:hint="eastAsia"/>
          <w:lang w:val="en-US" w:eastAsia="zh-CN"/>
        </w:rPr>
        <w:t>由于硝基甲烷的燃烧为一阶段燃烧，我们仅使用一类点火时刻，不需要考虑二段点火反应过程。</w:t>
      </w:r>
    </w:p>
    <w:p w14:paraId="4F5F2687">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firstLine="420" w:firstLineChars="200"/>
        <w:textAlignment w:val="auto"/>
        <w:rPr>
          <w:rFonts w:hint="default"/>
          <w:lang w:val="en-US" w:eastAsia="zh-CN"/>
        </w:rPr>
      </w:pPr>
      <w:r>
        <w:rPr>
          <w:rFonts w:hint="eastAsia"/>
          <w:lang w:val="en-US" w:eastAsia="zh-CN"/>
        </w:rPr>
        <w:t>在计算过程中。我们</w:t>
      </w:r>
      <w:r>
        <w:rPr>
          <w:rFonts w:hint="default"/>
          <w:lang w:val="en-US" w:eastAsia="zh-CN"/>
        </w:rPr>
        <w:t>采用Python多进程池将随机工况分配至多CPU核心并发计算，并内置自适应内存管理机制。模拟仅保留IDT落入目标区间的有效样本，最终将工况参数与双点火时间实时写入CSV文件，完成包含N组样本的燃烧特性数据集构建。</w:t>
      </w:r>
    </w:p>
    <w:p w14:paraId="3291A6A4">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firstLine="420" w:firstLineChars="200"/>
        <w:textAlignment w:val="auto"/>
        <w:rPr>
          <w:rFonts w:hint="eastAsia"/>
          <w:lang w:val="en-US" w:eastAsia="zh-CN"/>
        </w:rPr>
      </w:pPr>
    </w:p>
    <w:p w14:paraId="27E991B8">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0" w:leftChars="0" w:firstLine="0" w:firstLineChars="0"/>
        <w:textAlignment w:val="auto"/>
        <w:rPr>
          <w:rFonts w:hint="default"/>
          <w:lang w:val="en-US" w:eastAsia="zh-CN"/>
        </w:rPr>
      </w:pPr>
      <w:r>
        <w:rPr>
          <w:rFonts w:hint="eastAsia"/>
          <w:lang w:val="en-US" w:eastAsia="zh-CN"/>
        </w:rPr>
        <w:t>LW积分修正：①优化一阶段着火的公式，②优化高温着火的公式③优化一阶段着火温升④整体idt优化</w:t>
      </w:r>
    </w:p>
    <w:p w14:paraId="60474C46">
      <w:pPr>
        <w:pStyle w:val="3"/>
        <w:bidi w:val="0"/>
        <w:rPr>
          <w:rFonts w:hint="eastAsia"/>
          <w:lang w:val="en-US" w:eastAsia="zh-CN"/>
        </w:rPr>
      </w:pPr>
      <w:r>
        <w:rPr>
          <w:rFonts w:hint="eastAsia"/>
          <w:lang w:val="en-US" w:eastAsia="zh-CN"/>
        </w:rPr>
        <w:t>3结果分析</w:t>
      </w:r>
    </w:p>
    <w:p w14:paraId="7587A906">
      <w:pPr>
        <w:numPr>
          <w:ilvl w:val="0"/>
          <w:numId w:val="2"/>
        </w:numPr>
        <w:rPr>
          <w:rFonts w:hint="eastAsia"/>
          <w:lang w:val="en-US" w:eastAsia="zh-CN"/>
        </w:rPr>
      </w:pPr>
      <w:r>
        <w:rPr>
          <w:rFonts w:hint="eastAsia"/>
          <w:lang w:val="en-US" w:eastAsia="zh-CN"/>
        </w:rPr>
        <w:t>阿伦尼乌斯参数拟合结果分析</w:t>
      </w:r>
    </w:p>
    <w:p w14:paraId="114F1EE0">
      <w:pPr>
        <w:numPr>
          <w:ilvl w:val="0"/>
          <w:numId w:val="0"/>
        </w:numPr>
        <w:ind w:firstLine="420" w:firstLineChars="200"/>
        <w:rPr>
          <w:rFonts w:hint="eastAsia"/>
          <w:lang w:val="en-US" w:eastAsia="zh-CN"/>
        </w:rPr>
      </w:pPr>
      <w:r>
        <w:rPr>
          <w:rFonts w:hint="eastAsia"/>
          <w:lang w:val="en-US" w:eastAsia="zh-CN"/>
        </w:rPr>
        <w:t>三种不同数据来源的阿伦尼乌斯参数拟合结果随附件1提交。</w:t>
      </w:r>
      <w:bookmarkStart w:id="0" w:name="_GoBack"/>
      <w:bookmarkEnd w:id="0"/>
    </w:p>
    <w:p w14:paraId="67D5C9A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p>
    <w:p w14:paraId="1FC50CA0">
      <w:pPr>
        <w:numPr>
          <w:ilvl w:val="0"/>
          <w:numId w:val="0"/>
        </w:numPr>
        <w:rPr>
          <w:rFonts w:hint="default"/>
          <w:lang w:val="en-US" w:eastAsia="zh-CN"/>
        </w:rPr>
      </w:pPr>
      <w:r>
        <w:rPr>
          <w:rFonts w:hint="eastAsia"/>
          <w:lang w:val="en-US" w:eastAsia="zh-CN"/>
        </w:rPr>
        <w:t xml:space="preserve"> </w:t>
      </w:r>
    </w:p>
    <w:p w14:paraId="38C7B499">
      <w:pPr>
        <w:numPr>
          <w:ilvl w:val="0"/>
          <w:numId w:val="2"/>
        </w:numPr>
        <w:rPr>
          <w:rFonts w:hint="default"/>
          <w:lang w:val="en-US" w:eastAsia="zh-CN"/>
        </w:rPr>
      </w:pPr>
      <w:r>
        <w:rPr>
          <w:rFonts w:hint="eastAsia"/>
          <w:lang w:val="en-US" w:eastAsia="zh-CN"/>
        </w:rPr>
        <w:t>着火边界计算结果分析</w:t>
      </w:r>
    </w:p>
    <w:p w14:paraId="0BC601DD">
      <w:pPr>
        <w:numPr>
          <w:ilvl w:val="0"/>
          <w:numId w:val="0"/>
        </w:numPr>
        <w:ind w:firstLine="420"/>
        <w:rPr>
          <w:rFonts w:hint="eastAsia"/>
          <w:lang w:val="en-US" w:eastAsia="zh-CN"/>
        </w:rPr>
      </w:pPr>
      <w:r>
        <w:rPr>
          <w:rFonts w:hint="eastAsia"/>
          <w:lang w:val="en-US" w:eastAsia="zh-CN"/>
        </w:rPr>
        <w:t>三种不同数据来源的着火边界计算结果结果随附件2、3、4提交。</w:t>
      </w:r>
    </w:p>
    <w:p w14:paraId="529D8DB4">
      <w:pPr>
        <w:numPr>
          <w:ilvl w:val="0"/>
          <w:numId w:val="0"/>
        </w:numPr>
        <w:ind w:firstLine="420"/>
        <w:rPr>
          <w:rFonts w:hint="eastAsia"/>
          <w:lang w:val="en-US" w:eastAsia="zh-CN"/>
        </w:rPr>
      </w:pPr>
    </w:p>
    <w:p w14:paraId="057275E7">
      <w:pPr>
        <w:pStyle w:val="3"/>
        <w:bidi w:val="0"/>
        <w:rPr>
          <w:rFonts w:hint="eastAsia"/>
          <w:lang w:val="en-US" w:eastAsia="zh-CN"/>
        </w:rPr>
      </w:pPr>
      <w:r>
        <w:rPr>
          <w:rFonts w:hint="eastAsia"/>
          <w:lang w:val="en-US" w:eastAsia="zh-CN"/>
        </w:rPr>
        <w:t>4讨论</w:t>
      </w:r>
    </w:p>
    <w:p w14:paraId="35E22E5A">
      <w:pPr>
        <w:rPr>
          <w:rFonts w:hint="default"/>
          <w:lang w:val="en-US" w:eastAsia="zh-CN"/>
        </w:rPr>
      </w:pPr>
    </w:p>
    <w:p w14:paraId="0E452237">
      <w:pPr>
        <w:pStyle w:val="3"/>
        <w:bidi w:val="0"/>
        <w:rPr>
          <w:rFonts w:hint="eastAsia"/>
          <w:lang w:val="en-US" w:eastAsia="zh-CN"/>
        </w:rPr>
      </w:pPr>
      <w:r>
        <w:rPr>
          <w:rFonts w:hint="eastAsia"/>
          <w:lang w:val="en-US" w:eastAsia="zh-CN"/>
        </w:rPr>
        <w:t xml:space="preserve">5结论 </w:t>
      </w:r>
    </w:p>
    <w:p w14:paraId="78ED8411">
      <w:pPr>
        <w:rPr>
          <w:rFonts w:hint="eastAsia"/>
          <w:lang w:val="en-US" w:eastAsia="zh-CN"/>
        </w:rPr>
      </w:pPr>
    </w:p>
    <w:p w14:paraId="3F6996C7">
      <w:pPr>
        <w:pStyle w:val="3"/>
        <w:bidi w:val="0"/>
        <w:rPr>
          <w:rFonts w:hint="eastAsia"/>
          <w:lang w:val="en-US" w:eastAsia="zh-CN"/>
        </w:rPr>
      </w:pPr>
      <w:r>
        <w:rPr>
          <w:rFonts w:hint="eastAsia"/>
          <w:lang w:val="en-US" w:eastAsia="zh-CN"/>
        </w:rPr>
        <w:t>6参考文献</w:t>
      </w:r>
    </w:p>
    <w:p w14:paraId="0E590D93">
      <w:pPr>
        <w:rPr>
          <w:lang w:val="en-US"/>
        </w:rPr>
      </w:pPr>
      <w:r>
        <w:rPr>
          <w:rFonts w:hint="default"/>
          <w:lang w:eastAsia="zh-CN"/>
        </w:rPr>
        <w:t>[1]</w:t>
      </w:r>
      <w:r>
        <w:rPr>
          <w:lang w:val="en-US"/>
        </w:rPr>
        <w:t>Yang, M., Wu, Y., Tang, C., Liu, Y., &amp; Huang, Z. (2019). Auto-ignition behaviors of nitromethane in diluted oxygen in a rapid compression machine: Critical conditions for ignition, ignition delay times measurements, and kinetic modeling interpretation. Journal of Hazardous Materials, 382, 121063.</w:t>
      </w:r>
    </w:p>
    <w:p w14:paraId="27181171">
      <w:pPr>
        <w:rPr>
          <w:rFonts w:hint="default"/>
          <w:lang w:val="en-US" w:eastAsia="zh-CN"/>
        </w:rPr>
      </w:pPr>
      <w:r>
        <w:rPr>
          <w:rFonts w:hint="eastAsia"/>
          <w:lang w:val="en-US" w:eastAsia="zh-CN"/>
        </w:rPr>
        <w:t>[2]</w:t>
      </w:r>
      <w:r>
        <w:t>尚艳磊. (2021)</w:t>
      </w:r>
      <w:r>
        <w:rPr>
          <w:rFonts w:hint="eastAsia"/>
        </w:rPr>
        <w:t xml:space="preserve">. </w:t>
      </w:r>
      <w:r>
        <w:t>硝基甲烷的燃烧实验和动力学研究</w:t>
      </w:r>
      <w:r>
        <w:rPr>
          <w:rFonts w:hint="eastAsia"/>
        </w:rPr>
        <w:t>[D]</w:t>
      </w:r>
      <w:r>
        <w:t>.</w:t>
      </w:r>
      <w:r>
        <w:rPr>
          <w:rFonts w:hint="eastAsia"/>
        </w:rPr>
        <w:t xml:space="preserve"> </w:t>
      </w:r>
      <w:r>
        <w:t>西南交通大学</w:t>
      </w:r>
      <w:r>
        <w:rPr>
          <w:rFonts w:hint="eastAsia"/>
        </w:rPr>
        <w:t>.</w:t>
      </w:r>
    </w:p>
    <w:p w14:paraId="10345F26">
      <w:pPr>
        <w:rPr>
          <w:rFonts w:hint="eastAsia"/>
          <w:lang w:val="en-US" w:eastAsia="zh-CN"/>
        </w:rPr>
      </w:pPr>
      <w:r>
        <w:rPr>
          <w:rFonts w:hint="eastAsia"/>
          <w:lang w:val="en-US" w:eastAsia="zh-CN"/>
        </w:rPr>
        <w:t xml:space="preserve">[3]An experimental and detailed chemical kinetic modeling study of hydrogen and syngas mixture oxidation at high pressures Alan Kéromnès , Wayne K. Metcalfe , Karl A. Heufer , Nicola Donohoe , Apurba K. Das ,Chih-Jen Sung , Jürgen Herzler , Clemens Naumann , Peter Griebel ,Olivier Mathieu ,Michael C.Krejci , Eric L. Petersen , William J. Pitz f, Henry J. Curran </w:t>
      </w:r>
    </w:p>
    <w:p w14:paraId="313541FC">
      <w:pPr>
        <w:rPr>
          <w:lang w:val="en-US"/>
        </w:rPr>
      </w:pPr>
      <w:r>
        <w:rPr>
          <w:rFonts w:hint="eastAsia"/>
          <w:lang w:val="en-US" w:eastAsia="zh-CN"/>
        </w:rPr>
        <w:t>[4]</w:t>
      </w:r>
      <w:r>
        <w:rPr>
          <w:lang w:val="en-US"/>
        </w:rPr>
        <w:t>张红光, 石智成, 卢海涛, 刘昊. (2016). 基于快速压缩机的甲烷着火延迟期的研究. 北京工业大学学报, 42(4), 577-584.</w:t>
      </w:r>
    </w:p>
    <w:p w14:paraId="4441CF75">
      <w:pPr>
        <w:rPr>
          <w:rFonts w:hint="eastAsia"/>
          <w:lang w:val="en-US" w:eastAsia="zh-CN"/>
        </w:rPr>
      </w:pPr>
      <w:r>
        <w:rPr>
          <w:rFonts w:hint="eastAsia"/>
          <w:lang w:val="en-US" w:eastAsia="zh-CN"/>
        </w:rPr>
        <w:t>[5]4.快速压缩机缸内温度不均匀性及其对自燃的影响 卫海桥，蔡霁蕾，商艺宝，舒歌群，潘家营</w:t>
      </w:r>
    </w:p>
    <w:p w14:paraId="697A413C">
      <w:pPr>
        <w:rPr>
          <w:rFonts w:hint="default"/>
          <w:lang w:val="en-US" w:eastAsia="zh-CN"/>
        </w:rPr>
      </w:pPr>
      <w:r>
        <w:rPr>
          <w:rFonts w:hint="eastAsia"/>
          <w:lang w:val="en-US" w:eastAsia="zh-CN"/>
        </w:rPr>
        <w:t>[6]燃料自燃及其对燃烧过程的影响研究 潘家营</w:t>
      </w:r>
    </w:p>
    <w:p w14:paraId="34D95090">
      <w:pPr>
        <w:pStyle w:val="3"/>
        <w:bidi w:val="0"/>
        <w:rPr>
          <w:rFonts w:hint="default"/>
          <w:lang w:val="en-US" w:eastAsia="zh-CN"/>
        </w:rPr>
      </w:pPr>
      <w:r>
        <w:rPr>
          <w:rFonts w:hint="eastAsia"/>
          <w:lang w:val="en-US" w:eastAsia="zh-CN"/>
        </w:rPr>
        <w:t>7附录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CE4CB0"/>
    <w:multiLevelType w:val="singleLevel"/>
    <w:tmpl w:val="CCCE4CB0"/>
    <w:lvl w:ilvl="0" w:tentative="0">
      <w:start w:val="1"/>
      <w:numFmt w:val="decimal"/>
      <w:lvlText w:val="%1."/>
      <w:lvlJc w:val="left"/>
      <w:pPr>
        <w:tabs>
          <w:tab w:val="left" w:pos="312"/>
        </w:tabs>
      </w:pPr>
    </w:lvl>
  </w:abstractNum>
  <w:abstractNum w:abstractNumId="1">
    <w:nsid w:val="34B44765"/>
    <w:multiLevelType w:val="singleLevel"/>
    <w:tmpl w:val="34B44765"/>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456D4A"/>
    <w:rsid w:val="08D66B1B"/>
    <w:rsid w:val="10B33874"/>
    <w:rsid w:val="29B277F5"/>
    <w:rsid w:val="322A2FB8"/>
    <w:rsid w:val="343F6FE7"/>
    <w:rsid w:val="389729B7"/>
    <w:rsid w:val="3A8513C8"/>
    <w:rsid w:val="3AAA039F"/>
    <w:rsid w:val="4B57228E"/>
    <w:rsid w:val="4EC015B1"/>
    <w:rsid w:val="51F76131"/>
    <w:rsid w:val="575E5D89"/>
    <w:rsid w:val="5FCD1D80"/>
    <w:rsid w:val="65B440AB"/>
    <w:rsid w:val="67112E9A"/>
    <w:rsid w:val="6C0F7FD7"/>
    <w:rsid w:val="6D0F33FD"/>
    <w:rsid w:val="709F1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Emphasis"/>
    <w:basedOn w:val="9"/>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3226</Words>
  <Characters>3959</Characters>
  <Lines>0</Lines>
  <Paragraphs>0</Paragraphs>
  <TotalTime>4</TotalTime>
  <ScaleCrop>false</ScaleCrop>
  <LinksUpToDate>false</LinksUpToDate>
  <CharactersWithSpaces>4029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2026-04-28T10:16:00Z</dcterms:created>
  <dc:creator>曹梦娇</dc:creator>
  <cp:lastModifiedBy>曹梦娇</cp:lastModifiedBy>
  <dcterms:modified xsi:type="dcterms:W3CDTF">2026-07-06T13:10:31Z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eyJoZGlkIjoiMjI0YzljZmIxMWQ3MTZjZjMxNTEzOTE4MWVhOTFhNDYiLCJ1c2VySWQiOiIxNzQ2OTE5MTc0In0=</vt:lpwstr>
  </property>
  <property fmtid="{D5CDD505-2E9C-101B-9397-08002B2CF9AE}" pid="4" name="ICV">
    <vt:lpwstr>12D882D199C648B9A0636DBB174D3E36_13</vt:lpwstr>
  </property>
</Properties>
</file>