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2026-10-31 R67 · Helper 2026.10.31.68 · 31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R67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except for charges counted by property, such as erosion control under MGO chapter 37, where the repeat count still follows the property. The owner is still copied under CC unless you clear Also copy the property owner (this choice is kept for the case). A case has one Violator, and a snow removal case always uses the owner. A Violator row left completely empty is dropped when you close Recipients and the owner is the main contact again; one with only part of the name and address filled in must be completed first.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and standard by default (owner decision 2026-11-01), so bundled language that the owner approved for selection but the division has not yet reviewed is listed.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Entries with a formally recorded approved review; a narrower scope</w:t>
            </w:r>
          </w:p>
        </w:tc>
      </w:tr>
      <w:tr>
        <w:tc>
          <w:tcPr/>
          <w:p>
            <w:pPr>
              <w:pStyle w:val="Compact"/>
              <w:jc w:val="left"/>
            </w:pPr>
            <w:r>
              <w:t xml:space="preserve">Approved and standard</w:t>
            </w:r>
          </w:p>
        </w:tc>
        <w:tc>
          <w:tcPr/>
          <w:p>
            <w:pPr>
              <w:pStyle w:val="Compact"/>
              <w:jc w:val="left"/>
            </w:pPr>
            <w:r>
              <w:t xml:space="preserve">The default discovery scope: approved entries plus standard entries, which keep selection eligibility but have no recorded formal review</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language results</w:t>
            </w:r>
          </w:p>
        </w:tc>
        <w:tc>
          <w:tcPr/>
          <w:p>
            <w:pPr>
              <w:pStyle w:val="Compact"/>
              <w:jc w:val="left"/>
            </w:pPr>
            <w:r>
              <w:t xml:space="preserve">Clear search; check the status scope. Approved language shows only entries with a recorded formal review, so switch to Approved and standard if you chose the narrower scope</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12a1b34f77ab815d.</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2026-11-01T01:44:19Z</dcterms:created>
  <dcterms:modified xsi:type="dcterms:W3CDTF">2026-11-01T01:44:19Z</dcterms:modified>
</cp:coreProperties>
</file>

<file path=docProps/custom.xml><?xml version="1.0" encoding="utf-8"?>
<Properties xmlns="http://schemas.openxmlformats.org/officeDocument/2006/custom-properties" xmlns:vt="http://schemas.openxmlformats.org/officeDocument/2006/docPropsVTypes"/>
</file>