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3"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2026-10-30 R66 · Helper 2026.10.30.67 · 30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R66 is a release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When Writer opens, wait for</w:t>
      </w:r>
      <w:r>
        <w:t xml:space="preserve"> </w:t>
      </w:r>
      <w:r>
        <w:rPr>
          <w:bCs/>
          <w:b/>
        </w:rPr>
        <w:t xml:space="preserve">Restoring saved workspace</w:t>
      </w:r>
      <w:r>
        <w:t xml:space="preserve"> </w:t>
      </w:r>
      <w:r>
        <w:t xml:space="preserve">to finish. If</w:t>
      </w:r>
      <w:r>
        <w:t xml:space="preserve"> </w:t>
      </w:r>
      <w:r>
        <w:rPr>
          <w:bCs/>
          <w:b/>
        </w:rPr>
        <w:t xml:space="preserve">Saved workspace could not be restored</w:t>
      </w:r>
      <w:r>
        <w:t xml:space="preserve"> </w:t>
      </w:r>
      <w:r>
        <w:t xml:space="preserve">appears, editing is paused to protect saved work. Choose</w:t>
      </w:r>
      <w:r>
        <w:t xml:space="preserve"> </w:t>
      </w:r>
      <w:r>
        <w:rPr>
          <w:bCs/>
          <w:b/>
        </w:rPr>
        <w:t xml:space="preserve">Reload and retry</w:t>
      </w:r>
      <w:r>
        <w:t xml:space="preserve">; if the problem continues, ask IT to check this browser profile and preserve its saved work. Do not clear browser site data to bypass the message.</w:t>
      </w:r>
    </w:p>
    <w:p>
      <w:pPr>
        <w:pStyle w:val="BodyText"/>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or first installs a newer release when one has been deployed. Keep one Writer window open in the same browser profile. Confirm Build 2026-10-24 R63 and helper 2026.10.24.64.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Review or Open full checklist opens the Review dialog) or a worksheet’s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Issue only when the facts and required approvals are complete. Wait for confirmation of the shared save; Writer then returns to Workspace with the issued case highlighted.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Cs/>
          <w:b/>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four Writer destinations are Workspace, Order language, Reports, and Tools &amp; settings. Writer normally opens in Workspace. Its Start or find case work area contains Import inspection for unused Accela inspections and Search shared case records for existing work. Open Reports ↗ opens Reports in a new tab. Editing a case remains within Workspace. When Open case in Writer brings a case from Reports, the Writer rail shows Back to Reports instead, which returns to the same report.</w:t>
      </w:r>
    </w:p>
    <w:p>
      <w:pPr>
        <w:pStyle w:val="BodyText"/>
      </w:pPr>
      <w:r>
        <w:rPr>
          <w:bCs/>
          <w:b/>
        </w:rPr>
        <w:t xml:space="preserve">Warnings and errors.</w:t>
      </w:r>
      <w:r>
        <w:t xml:space="preserve"> </w:t>
      </w:r>
      <w:r>
        <w:t xml:space="preserve">Warning and error messages at the top of the page clear after 15 seconds each time they are shown (hovering or focusing a message restarts the timer), in Writer and in Reports. Cleared messages remain in Message history. Checks that block issuance stay in the Review dialog until resolved, and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numPr>
          <w:ilvl w:val="0"/>
          <w:numId w:val="1001"/>
        </w:numPr>
        <w:pStyle w:val="Compact"/>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current authoring version 16. Every issued document keeps the authoring version it was issued with, and its reprints and corrections keep that format; chapter 22 lists the earlier document formats.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with saving to the shared folder paused until IT fixes the deployment folder. This catches mistakes and damaged copies; protection against deliberate tampering comes from the deployment folder being writable only by the release owner.</w:t>
      </w:r>
    </w:p>
    <w:p>
      <w:pPr>
        <w:pStyle w:val="BodyText"/>
      </w:pPr>
      <w:r>
        <w:rPr>
          <w:bCs/>
          <w:b/>
        </w:rPr>
        <w:t xml:space="preserve">Newest release required.</w:t>
      </w:r>
      <w:r>
        <w:t xml:space="preserve"> </w:t>
      </w:r>
      <w:r>
        <w:t xml:space="preserve">Opening Document Writer always installs the newest release from the deployment folder. If an older copy is still running, the icon stops it first (it waits if that copy is saving or filing, and says so). A copy left open when a new release is deployed stops saving to the shared folder and asks you to exit and open Document Writer again; your work stays on this computer. Without the shared folder (for example off the network), Document Writer starts the installed copy and saves wait until the folder is reachable.</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In Workspace choose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each result shows its Inspection type, Date (with time), Inspector and Status, and the one you choose is highlighted.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An inspection already recorded on any document or visit of the case, including drafts, withdrawn and corrected documents, counts as used; re-importing the inspection of an unfinished draft or worksheet still refreshes it. Any other type and status combination is listed under Not available for import, greyed with its reason, and cannot be selected. When nothing can be listed, the review explains which kinds of rows the report returned.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or No Fee Extension Processing → choose Extension, Best Interest Extension or Vacancy Extension; No Occupancy or No Fee No Occupancy → No Occupancy; Reinspection or No Fee Reinspection → Reinspection Notice (the item list is updated and every due date stays as assigned).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Any other combination cannot be imported: set the specific result in Accela and retrieve it again.</w:t>
      </w:r>
    </w:p>
    <w:p>
      <w:pPr>
        <w:numPr>
          <w:ilvl w:val="0"/>
          <w:numId w:val="1002"/>
        </w:numPr>
        <w:pStyle w:val="Compact"/>
      </w:pPr>
      <w:r>
        <w:t xml:space="preserve">On a case already referred to the City Attorney, only results that lead to an Update for Case Referral or a Compliance Letter can be imported.</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Choose Violation Items at the top of the document. In the Select for this notice picker,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Review (or Open full checklist) opens the Review dialog: checks that must be fixed before issuing, then advisories, or a statement that there are no concerns. Each check links to its field; closing the dialog returns you to where you were. A copy can be changed to the type Violator when the person who is responsible for the violation is not the property owner: that person replaces the owner as the main contact in the mailing address block and as the defendant on any citation, and repeat offenses are counted against that person’s address. The owner is still copied under CC unless you clear Also copy the property owner (this choice is kept for the case). A case has one Violator, and a snow removal case always uses the owner. The mailing block is read-only while a Violator is set; change it in Recipients. Install the release that includes this feature on every PC before using it, because earlier releases print the Violator as an ordinary copy.</w:t>
      </w:r>
    </w:p>
    <w:p>
      <w:pPr>
        <w:numPr>
          <w:ilvl w:val="0"/>
          <w:numId w:val="1003"/>
        </w:numPr>
        <w:pStyle w:val="Compact"/>
      </w:pPr>
      <w:r>
        <w:t xml:space="preserve">Choose Save draft &amp; return to Workspace to retain unfinished work, or Issue when ready. After a confirmed shared save, Writer returns to Workspace with the issued case highlighted; if the save is refused or not confirmed, the document stays open. Verify the resulting save state.</w:t>
      </w:r>
    </w:p>
    <w:p>
      <w:pPr>
        <w:pStyle w:val="FirstParagraph"/>
      </w:pPr>
      <w:r>
        <w:rPr>
          <w:bCs/>
          <w:b/>
        </w:rPr>
        <w:t xml:space="preserve">Fill-in details.</w:t>
      </w:r>
      <w:r>
        <w:t xml:space="preserve"> </w:t>
      </w:r>
      <w:r>
        <w:t xml:space="preserve">To fill a missing corrective-action detail, activate its fill-in bubble, enter text in Add corrective-action detail and choose Save. Cancel or Escape leaves the bubble unchanged. The dialog returns focus to the item and uses the ordinary draft-saving process.</w:t>
      </w:r>
    </w:p>
    <w:p>
      <w:pPr>
        <w:pStyle w:val="BodyText"/>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Order language shows section references without a trailing period, for example 27.05(2)(g)1 and 27.05(2)(h)3; this does not change the charge identity or pricing.</w:t>
      </w:r>
    </w:p>
    <w:p>
      <w:pPr>
        <w:pStyle w:val="BodyText"/>
      </w:pPr>
      <w:r>
        <w:t xml:space="preserve">All bundled order language can be selected except seven entries that still have no confirmed ordinance section (both carbon monoxide alarm entries, Occupancy Exceeds Permitted Use, Required permit inspections, Historic exterior work approval, Sleeping room without required egress and Unapproved room use). The owner approved the other formerly draft entries for selection on 2026-10-31, so they appear under Approved and standard, not under the default Approved language scope, which lists only entries with a recorded review. The seven are greyed out with their status until the division gives each its section and records an approved review under Order language → Review catalog. Picking the snow removal item on a new notice turns the draft into a snow removal citation (MGO 10.28); the picker stays open, and picking the snow item again restores the notice so other language can be added.</w:t>
      </w:r>
    </w:p>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shows a Charged ordinance select with exactly those sections and nothing chosen; choose the section actually charged (saved drafts show the select unchosen and cannot be issued until a section is chosen). The deposit fields then fill from the configured schedule for the pricing date; changing the choice clears the previous charge’s values and prices the new one. If no single schedule entry applies, a blocking concern explains it rather than guessing an amount. Charging a section that is not listed on the item is a different charge and needs an approved source.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p>
      <w:pPr>
        <w:pStyle w:val="FirstParagraph"/>
      </w:pPr>
      <w:r>
        <w:rPr>
          <w:bCs/>
          <w:b/>
        </w:rPr>
        <w:t xml:space="preserve">Citation copies.</w:t>
      </w:r>
      <w:r>
        <w:t xml:space="preserve"> </w:t>
      </w:r>
      <w:r>
        <w:t xml:space="preserve">Citation editors initially show all four distinct Court, Agency, Inspector and Defendant copies per charge. Show representative court copies optionally switches to a compact preview; Show all four citation copies restores the complete preview. Every final citation packet contains all four distinct approved copies for each charge; longer packets may contain additional letter or continuation pages. Verify the issued PDF, not only the compact editor view. Incomplete new citation packets are refused instead of silently filed. Existing single-page and continuation footer conventions and approved citation forms are retained; verify the actual PDF and City print settings.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Issue, confirm the shared save (Writer returns to Workspace with the case highlighted)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with an extension or citation intent (or before choosing an intent), Assign due dates appears beside item review, outside collapsed Inspection checks. It lists the items still outstanding; select items, choose a date and Apply date to selected items. The selected-item count shows the scope within this reinspection only. Corrected, withdrawn and carried results are excluded. Undo restores the previous dates while the worksheet remains editable. The three-date limit and seven-day spacing apply.</w:t>
      </w:r>
    </w:p>
    <w:p>
      <w:pPr>
        <w:pStyle w:val="BodyText"/>
      </w:pPr>
      <w:r>
        <w:t xml:space="preserve">Open Reinspect from the case or import an eligible unused completed reinspection. To return to an unfinished worksheet, use Continue reinspection in the case details (beside Discard reinspection draft) or the case’s main action in Workspace.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Cs/>
          <w:b/>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Additional time for every uncorrected item, with recorded reasons and new due dates</w:t>
            </w:r>
          </w:p>
        </w:tc>
      </w:tr>
      <w:tr>
        <w:tc>
          <w:tcPr/>
          <w:p>
            <w:pPr>
              <w:pStyle w:val="Compact"/>
              <w:jc w:val="left"/>
            </w:pPr>
            <w:r>
              <w:t xml:space="preserve">Vacancy Extension</w:t>
            </w:r>
          </w:p>
        </w:tc>
        <w:tc>
          <w:tcPr/>
          <w:p>
            <w:pPr>
              <w:pStyle w:val="Compact"/>
              <w:jc w:val="left"/>
            </w:pPr>
            <w:r>
              <w:t xml:space="preserve">Time for every uncorrected item while the building or unit remains vacant, with a review inspection</w:t>
            </w:r>
          </w:p>
        </w:tc>
      </w:tr>
      <w:tr>
        <w:tc>
          <w:tcPr/>
          <w:p>
            <w:pPr>
              <w:pStyle w:val="Compact"/>
              <w:jc w:val="left"/>
            </w:pPr>
            <w:r>
              <w:t xml:space="preserve">Reinspection Notice</w:t>
            </w:r>
          </w:p>
        </w:tc>
        <w:tc>
          <w:tcPr/>
          <w:p>
            <w:pPr>
              <w:pStyle w:val="Compact"/>
              <w:jc w:val="left"/>
            </w:pPr>
            <w:r>
              <w:t xml:space="preserve">An updated item list after a Reinspection or No Fee Reinspection result, with every due date unchanged</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the only documents offered or allowed are Update for Case Referral and Compliance Letter; extensions, citations and scoped orders are unavailable. A referral update or applicable compliance action preserves the referral history. Corrections of documents issued before the referral remain available.</w:t>
      </w:r>
    </w:p>
    <w:p>
      <w:pPr>
        <w:pStyle w:val="BodyText"/>
      </w:pPr>
      <w:r>
        <w:rPr>
          <w:bCs/>
          <w:b/>
        </w:rPr>
        <w:t xml:space="preserve">Referral and compliance histories.</w:t>
      </w:r>
      <w:r>
        <w:t xml:space="preserve"> </w:t>
      </w:r>
      <w:r>
        <w:t xml:space="preserve">New City Attorney referrals, Updates for Case Referral and Compliance Letters show each item’s recorded inspection observations, including corrected items. A corrected observation displays its date once, with CORRECTED beneath it. Days Outstanding starts at that item’s first observation and stops at correction; an outstanding item uses its latest recorded observation. Later inspections do not increase a corrected item’s duration. Unrelated visits and carried findings are excluded. Missing or inconsistent dates display Unavailable; investigate the source record rather than assuming zero days. Each inspector note prints under the violation in Corrections Required, as on an Extension, oldest first and with its date, including notes on corrected items. The Inspection History column keeps dates, outcomes, CORRECTED, citations and Days Outstanding, without notes. Long notes continue on the next page; every word prints once. Compliance letters retain Abate Yes/No; missing legacy information is labeled Unavailable rather than invented. Issued histories remain frozen, and previously issued referrals and compliance letters keep their historical format (chapter 22).</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Scoped orders and administrative families begin without legal approval. New Best Interest and Vacancy Extensions (authoring 16) use the simplified entry described below; other scoped families and historical extension formats retain their review requirements. Drafting is possible while review is incomplete. Where Authority, wording and signer review is required,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New authoring-16 documents extend every uncorrected item and use Reasons for Additional Time without a signer block. There are no affected-item checkboxes and no safety confirmation. Due dates work as on a normal Extension: on the reinspection worksheet, enter each outstanding item’s Next due date; the document takes those dates, and you can change them in Violation items. Use a future date for each uncorrected item, at most three distinct dates, at least seven days apart. Corrected items keep their dates. The letter reads</w:t>
      </w:r>
      <w:r>
        <w:t xml:space="preserve"> </w:t>
      </w:r>
      <w:r>
        <w:t xml:space="preserve">“</w:t>
      </w:r>
      <w:r>
        <w:t xml:space="preserve">Additional time is granted for the uncorrected items for the following reasons: …</w:t>
      </w:r>
      <w:r>
        <w:t xml:space="preserve">”</w:t>
      </w:r>
      <w:r>
        <w:t xml:space="preserve">. Older unissued drafts keep their earlier format unless Use simplified Reasons-only format is chosen, which moves them to this format and retains their earlier review data. Authoring-15 drafts keep their format with its safety checkbox. Issued historical formats and their corrections remain unchanged. This extension is not a City Attorney referral.</w:t>
      </w:r>
    </w:p>
    <w:p>
      <w:pPr>
        <w:pStyle w:val="BodyText"/>
      </w:pPr>
      <w:r>
        <w:rPr>
          <w:bCs/>
          <w:b/>
        </w:rPr>
        <w:t xml:space="preserve">Vacancy Extension.</w:t>
      </w:r>
      <w:r>
        <w:t xml:space="preserve"> </w:t>
      </w:r>
      <w:r>
        <w:t xml:space="preserve">New authoring-16 documents extend every uncorrected item while the building or apartment / unit remains vacant. Enter only Scope (and the apartment / unit identifier) and the Next scheduled review inspection, which must be at least seven days after the mailing date; contact-by is calculated seven calendar days before it. Uncorrected items print no due date; corrected items keep their dates. The letter reads</w:t>
      </w:r>
      <w:r>
        <w:t xml:space="preserve"> </w:t>
      </w:r>
      <w:r>
        <w:t xml:space="preserve">“</w:t>
      </w:r>
      <w:r>
        <w:t xml:space="preserve">While the apartment / unit remains vacant and the conditions below are met, we grant an extension for the uncorrected item(s).</w:t>
      </w:r>
      <w:r>
        <w:t xml:space="preserve">”</w:t>
      </w:r>
      <w:r>
        <w:t xml:space="preserve"> </w:t>
      </w:r>
      <w:r>
        <w:t xml:space="preserve">(or</w:t>
      </w:r>
      <w:r>
        <w:t xml:space="preserve"> </w:t>
      </w:r>
      <w:r>
        <w:t xml:space="preserve">“</w:t>
      </w:r>
      <w:r>
        <w:t xml:space="preserve">the building</w:t>
      </w:r>
      <w:r>
        <w:t xml:space="preserve">”</w:t>
      </w:r>
      <w:r>
        <w:t xml:space="preserve">). The affected-item checkboxes, safety confirmation and basis, extension request reference, verified vacancy basis, approved continuing conditions, expiration / review model, sale / transfer wording, short-notice procedure and the Authority, wording and signer review are removed, as is the signer block. Renewal requires a new action. Apartment scope preserves common-area duties. Earlier Vacancy Extensions reprint unchanged.</w:t>
      </w:r>
    </w:p>
    <w:p>
      <w:pPr>
        <w:pStyle w:val="BodyText"/>
      </w:pPr>
      <w:r>
        <w:rPr>
          <w:bCs/>
          <w:b/>
        </w:rPr>
        <w:t xml:space="preserve">Reinspection Notice.</w:t>
      </w:r>
      <w:r>
        <w:t xml:space="preserve"> </w:t>
      </w:r>
      <w:r>
        <w:t xml:space="preserve">Import an eligible unused inspection of type Reinspection whose result is Reinspection or No Fee Reinspection. The worksheet records the item results as usual, and the document created from the Accela status is the Reinspection Notice, headed</w:t>
      </w:r>
      <w:r>
        <w:t xml:space="preserve"> </w:t>
      </w:r>
      <w:r>
        <w:t xml:space="preserve">“</w:t>
      </w:r>
      <w:r>
        <w:t xml:space="preserve">REINSPECTION - Building Inspection Official Notice</w:t>
      </w:r>
      <w:r>
        <w:t xml:space="preserve">”</w:t>
      </w:r>
      <w:r>
        <w:t xml:space="preserve">. Its wording is the same for both results. Items you marked Corrected print ruled through with the date you confirmed them, and the rest are listed as outstanding. The Reinspection Notice never changes a due date: every item prints the due date it already had, the dates cannot be edited on it, and a date that has already passed prints as assigned. It needs at least one outstanding item (a Compliance Letter closes a case with none) and cannot be written on a case that is with the City Attorney. The case status becomes Reinspection while the case stays open, in Workspace and in Reports.</w:t>
      </w:r>
    </w:p>
    <w:p>
      <w:pPr>
        <w:pStyle w:val="BodyText"/>
      </w:pPr>
      <w:r>
        <w:rPr>
          <w:bCs/>
          <w:b/>
        </w:rPr>
        <w:t xml:space="preserve">Extension layout.</w:t>
      </w:r>
      <w:r>
        <w:t xml:space="preserve"> </w:t>
      </w:r>
      <w:r>
        <w:t xml:space="preserve">Best Interest and Vacancy Extensions use the regular Extension’s header, recipient block, items table, continuation headers, footer and copy handling. All items are listed, including corrected items ruled through with the confirmed date. New Best Interest and Vacancy Extensions have no signer block, so they show no signer fill-in bubbles; footers are unchanged. The regular Extension is unchanged. Earlier drafts and issued documents keep their own format; chapter 22 describes the earlier Best Interest and Vacancy formats.</w:t>
      </w:r>
    </w:p>
    <w:p>
      <w:pPr>
        <w:pStyle w:val="BodyText"/>
      </w:pPr>
      <w:r>
        <w:t xml:space="preserve">A referred case allows only an Update for Case Referral or a Compliance Letter; the former reviewed emergency / occupancy exception is removed.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Use Review first: the Review dialog lists checks that block issuance and advisories, each linked to its field, with passed checks collapsed. Then choose Issue, read the summary and confirm the intended action.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Use Open document to file PDF, then File issued PDF in the document,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No Chrome or Edge.</w:t>
      </w:r>
      <w:r>
        <w:t xml:space="preserve"> </w:t>
      </w:r>
      <w:r>
        <w:t xml:space="preserve">PDF production needs Chrome or Microsoft Edge on the computer. If the helper did not find one, File issued PDF says so; ask IT to install it and use File issued PDF again. The issued case record is not affected.</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t xml:space="preserve">In the editor, mailing addresses flow below the header to prevent overlap when interactive fields expand. Issued PDFs retain their existing approved left-window positioning. Native envelope and printer acceptance remains required.</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When Correct and Withdraw are missing.</w:t>
      </w:r>
      <w:r>
        <w:t xml:space="preserve"> </w:t>
      </w:r>
      <w:r>
        <w:t xml:space="preserve">Open Document actions on the issued document. If Correct document and Withdraw are not offered, the same place states why (for example, an unfinished worksheet or document draft must be finished or discarded first, or a later document depends on this one). Resolve what it names and the buttons return.</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 Correction review displays dollars and cents consistently, including assessment components stored as integer cents; it does not recalculate the recorded correction values.</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Cs/>
          <w:b/>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Cs/>
          <w:b/>
        </w:rPr>
        <w:t xml:space="preserve">Search shared case records.</w:t>
      </w:r>
      <w:r>
        <w:t xml:space="preserve"> </w:t>
      </w:r>
      <w:r>
        <w:t xml:space="preserve">Use the shared search, also in Workspace’s Start or find case work area, when a case is not loaded in Workspace. Review identity and open it through the existing shared-history checks. A search result does not override a conflict, active draft or unreadable record.</w:t>
      </w:r>
    </w:p>
    <w:p>
      <w:pPr>
        <w:pStyle w:val="BodyText"/>
      </w:pPr>
      <w:r>
        <w:rPr>
          <w:bCs/>
          <w:b/>
        </w:rPr>
        <w:t xml:space="preserve">Open cases by inspector.</w:t>
      </w:r>
      <w:r>
        <w:t xml:space="preserve"> </w:t>
      </w:r>
      <w:r>
        <w:t xml:space="preserve">In the same Search shared case records window, choose an inspector under Open cases by inspector and select Show open cases. The list shows that inspector’s cases that are not closed or withdrawn, soonest deadline first, using the same rule as the Open cases report. A case belongs to the inspector assigned on the case; Unassigned or former inspector lists cases with no assigned inspector or one who is not on the division’s list. If some case files were left out because their summary is missing, out of date or unreadable, the list says how many and may be incomplete. Select Continue case beside a case: Writer asks you to import a new inspection result to continue it. Import inspection opens with that case number ready; select Find Accela inspection to look it up. If an inspection for that case is already imported and waiting, you can continue with it instead. If an import for a different case is waiting, finish or cancel it first. Open case without importing opens the case as before. Nothing is imported, issued or changed until you complete the import steps yourself.</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Warning and error messages clear after 15 seconds; read them before they clear, or open Message history, which keeps cleared and dismissed messages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four Writer destinations remain available; open Import inspection from Workspace. On a narrow screen (760 CSS pixels or less) the document editor uses a compact header and one task bar at the bottom with the save state, Next required field, Review and the primary action; Review opens the Review dialog;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Other combinations are listed as not available with their reason;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2"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bookmarkStart w:id="41" w:name="earlier-document-formats"/>
    <w:p>
      <w:pPr>
        <w:pStyle w:val="Heading3"/>
      </w:pPr>
      <w:r>
        <w:t xml:space="preserve">Earlier document formats</w:t>
      </w:r>
    </w:p>
    <w:p>
      <w:pPr>
        <w:pStyle w:val="FirstParagraph"/>
      </w:pPr>
      <w:r>
        <w:t xml:space="preserve">Each issued document keeps the authoring version it was issued with. Its reprints and corrections use that format, and an unissued draft keeps its format unless an explicit adoption, such as Use simplified Reasons-only format, moves it to the current one. New documents use the current format described in chapters 5 to 13; new scoped orders (abatements, No Occupancy) keep authoring 13 because their layout is unchanged.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Authoring version</w:t>
            </w:r>
          </w:p>
        </w:tc>
        <w:tc>
          <w:tcPr/>
          <w:p>
            <w:pPr>
              <w:pStyle w:val="Compact"/>
              <w:jc w:val="left"/>
            </w:pPr>
            <w:r>
              <w:t xml:space="preserve">Best Interest and Vacancy Extensions</w:t>
            </w:r>
          </w:p>
        </w:tc>
        <w:tc>
          <w:tcPr/>
          <w:p>
            <w:pPr>
              <w:pStyle w:val="Compact"/>
              <w:jc w:val="left"/>
            </w:pPr>
            <w:r>
              <w:t xml:space="preserve">Referrals and Compliance Letters</w:t>
            </w:r>
          </w:p>
        </w:tc>
      </w:tr>
      <w:tr>
        <w:tc>
          <w:tcPr/>
          <w:p>
            <w:pPr>
              <w:pStyle w:val="Compact"/>
              <w:jc w:val="left"/>
            </w:pPr>
            <w:r>
              <w:t xml:space="preserve">11 and earlier</w:t>
            </w:r>
          </w:p>
        </w:tc>
        <w:tc>
          <w:tcPr/>
          <w:p>
            <w:pPr>
              <w:pStyle w:val="Compact"/>
              <w:jc w:val="left"/>
            </w:pPr>
            <w:r>
              <w:t xml:space="preserve">Historical narrative layout, also for their corrections</w:t>
            </w:r>
          </w:p>
        </w:tc>
        <w:tc>
          <w:tcPr/>
          <w:p>
            <w:pPr>
              <w:pStyle w:val="Compact"/>
              <w:jc w:val="left"/>
            </w:pPr>
            <w:r>
              <w:t xml:space="preserve">Historical layout; compliance letters list dates only</w:t>
            </w:r>
          </w:p>
        </w:tc>
      </w:tr>
      <w:tr>
        <w:tc>
          <w:tcPr/>
          <w:p>
            <w:pPr>
              <w:pStyle w:val="Compact"/>
              <w:jc w:val="left"/>
            </w:pPr>
            <w:r>
              <w:t xml:space="preserve">12</w:t>
            </w:r>
          </w:p>
        </w:tc>
        <w:tc>
          <w:tcPr/>
          <w:p>
            <w:pPr>
              <w:pStyle w:val="Compact"/>
              <w:jc w:val="left"/>
            </w:pPr>
            <w:r>
              <w:t xml:space="preserve">Regular Extension layout; affected items listed in the details; a Vacancy Extension may be conditional (</w:t>
            </w:r>
            <w:r>
              <w:t xml:space="preserve">“</w:t>
            </w:r>
            <w:r>
              <w:t xml:space="preserve">Conditional — see conditions above</w:t>
            </w:r>
            <w:r>
              <w:t xml:space="preserve">”</w:t>
            </w:r>
            <w:r>
              <w:t xml:space="preserve">) and keeps its stored repair dates</w:t>
            </w:r>
          </w:p>
        </w:tc>
        <w:tc>
          <w:tcPr/>
          <w:p>
            <w:pPr>
              <w:pStyle w:val="Compact"/>
              <w:jc w:val="left"/>
            </w:pPr>
            <w:r>
              <w:t xml:space="preserve">Historical layout</w:t>
            </w:r>
          </w:p>
        </w:tc>
      </w:tr>
      <w:tr>
        <w:tc>
          <w:tcPr/>
          <w:p>
            <w:pPr>
              <w:pStyle w:val="Compact"/>
              <w:jc w:val="left"/>
            </w:pPr>
            <w:r>
              <w:t xml:space="preserve">13</w:t>
            </w:r>
          </w:p>
        </w:tc>
        <w:tc>
          <w:tcPr/>
          <w:p>
            <w:pPr>
              <w:pStyle w:val="Compact"/>
              <w:jc w:val="left"/>
            </w:pPr>
            <w:r>
              <w:t xml:space="preserve">Every affected item has a later due date in the items table; Vacancy Extensions are always dated. New Vacancy Extensions kept this format until authoring 16</w:t>
            </w:r>
          </w:p>
        </w:tc>
        <w:tc>
          <w:tcPr/>
          <w:p>
            <w:pPr>
              <w:pStyle w:val="Compact"/>
              <w:jc w:val="left"/>
            </w:pPr>
            <w:r>
              <w:t xml:space="preserve">Historical layout</w:t>
            </w:r>
          </w:p>
        </w:tc>
      </w:tr>
      <w:tr>
        <w:tc>
          <w:tcPr/>
          <w:p>
            <w:pPr>
              <w:pStyle w:val="Compact"/>
              <w:jc w:val="left"/>
            </w:pPr>
            <w:r>
              <w:t xml:space="preserve">14</w:t>
            </w:r>
          </w:p>
        </w:tc>
        <w:tc>
          <w:tcPr/>
          <w:p>
            <w:pPr>
              <w:pStyle w:val="Compact"/>
              <w:jc w:val="left"/>
            </w:pPr>
            <w:r>
              <w:t xml:space="preserve">New Best Interest and Vacancy Extensions kept authoring 13</w:t>
            </w:r>
          </w:p>
        </w:tc>
        <w:tc>
          <w:tcPr/>
          <w:p>
            <w:pPr>
              <w:pStyle w:val="Compact"/>
              <w:jc w:val="left"/>
            </w:pPr>
            <w:r>
              <w:t xml:space="preserve">Referrals show item-specific inspection history and Days Outstanding; compliance letters list dates only</w:t>
            </w:r>
          </w:p>
        </w:tc>
      </w:tr>
      <w:tr>
        <w:tc>
          <w:tcPr/>
          <w:p>
            <w:pPr>
              <w:pStyle w:val="Compact"/>
              <w:jc w:val="left"/>
            </w:pPr>
            <w:r>
              <w:t xml:space="preserve">15</w:t>
            </w:r>
          </w:p>
        </w:tc>
        <w:tc>
          <w:tcPr/>
          <w:p>
            <w:pPr>
              <w:pStyle w:val="Compact"/>
              <w:jc w:val="left"/>
            </w:pPr>
            <w:r>
              <w:t xml:space="preserve">Best Interest: Reasons with the explicit safety-exclusion confirmation and no signer</w:t>
            </w:r>
          </w:p>
        </w:tc>
        <w:tc>
          <w:tcPr/>
          <w:p>
            <w:pPr>
              <w:pStyle w:val="Compact"/>
              <w:jc w:val="left"/>
            </w:pPr>
            <w:r>
              <w:t xml:space="preserve">Item history with notes in the history column; compliance letters add item history and Abate Yes/No</w:t>
            </w:r>
          </w:p>
        </w:tc>
      </w:tr>
      <w:tr>
        <w:tc>
          <w:tcPr/>
          <w:p>
            <w:pPr>
              <w:pStyle w:val="Compact"/>
              <w:jc w:val="left"/>
            </w:pPr>
            <w:r>
              <w:t xml:space="preserve">16 (current)</w:t>
            </w:r>
          </w:p>
        </w:tc>
        <w:tc>
          <w:tcPr/>
          <w:p>
            <w:pPr>
              <w:pStyle w:val="Compact"/>
              <w:jc w:val="left"/>
            </w:pPr>
            <w:r>
              <w:t xml:space="preserve">Every uncorrected item, no selection or safety confirmation and no signer; Best Interest takes the worksheet’s Next due dates; Vacancy prints no due date and needs a review inspection</w:t>
            </w:r>
          </w:p>
        </w:tc>
        <w:tc>
          <w:tcPr/>
          <w:p>
            <w:pPr>
              <w:pStyle w:val="Compact"/>
              <w:jc w:val="left"/>
            </w:pPr>
            <w:r>
              <w:t xml:space="preserve">Notes print under the violation, corrected items included</w:t>
            </w:r>
          </w:p>
        </w:tc>
      </w:tr>
    </w:tbl>
    <w:p>
      <w:pPr>
        <w:pStyle w:val="BodyText"/>
      </w:pPr>
      <w:r>
        <w:t xml:space="preserve">In the aligned table layout, authoring-12–15 Vacancy Extensions and authoring-12–14 Best Interest Extensions print their supervisory signer after the table; authoring-11 and earlier use their historical narrative layout. Ordinary Extensions keep their own stored authoring version; the special-extension column above describes only Best Interest and Vacancy Extensions. The authoring-11 initial citation packet may have six pages. Retain the original PDF for any document issued under a format an earlier release cannot render.</w:t>
      </w:r>
    </w:p>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c778e93bdacb344f.</w:t>
      </w:r>
    </w:p>
    <w:bookmarkEnd w:id="41"/>
    <w:bookmarkEnd w:id="42"/>
    <w:bookmarkEnd w:id="43"/>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2026-10-31T21:16:01Z</dcterms:created>
  <dcterms:modified xsi:type="dcterms:W3CDTF">2026-10-31T21:16:01Z</dcterms:modified>
</cp:coreProperties>
</file>

<file path=docProps/custom.xml><?xml version="1.0" encoding="utf-8"?>
<Properties xmlns="http://schemas.openxmlformats.org/officeDocument/2006/custom-properties" xmlns:vt="http://schemas.openxmlformats.org/officeDocument/2006/docPropsVTypes"/>
</file>