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4"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2026-10-23 R61 · Helper 2026.10.23.62 · 23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R61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
          <w:bCs/>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
          <w:bCs/>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2026-10-23 R61 and helper 2026.10.23.62. Open Workspace and resolve any save confirmation, shared-history or PDF-filing exceptions before creating replacement work. Check pending deadlines and reminders.</w:t>
      </w:r>
    </w:p>
    <w:p>
      <w:pPr>
        <w:pStyle w:val="BodyText"/>
      </w:pPr>
      <w:r>
        <w:rPr>
          <w:b/>
          <w:bCs/>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
          <w:bCs/>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
          <w:bCs/>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
          <w:bCs/>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
          <w:bCs/>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
          <w:bCs/>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pStyle w:val="Compact"/>
        <w:numPr>
          <w:ilvl w:val="0"/>
          <w:numId w:val="1001"/>
        </w:numPr>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pStyle w:val="Compact"/>
        <w:numPr>
          <w:ilvl w:val="0"/>
          <w:numId w:val="1001"/>
        </w:numPr>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pStyle w:val="Compact"/>
        <w:numPr>
          <w:ilvl w:val="0"/>
          <w:numId w:val="1001"/>
        </w:numPr>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pStyle w:val="Compact"/>
        <w:numPr>
          <w:ilvl w:val="0"/>
          <w:numId w:val="1001"/>
        </w:numPr>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pStyle w:val="Compact"/>
        <w:numPr>
          <w:ilvl w:val="0"/>
          <w:numId w:val="1001"/>
        </w:numPr>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pStyle w:val="Compact"/>
        <w:numPr>
          <w:ilvl w:val="0"/>
          <w:numId w:val="1001"/>
        </w:numPr>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pStyle w:val="Compact"/>
        <w:numPr>
          <w:ilvl w:val="0"/>
          <w:numId w:val="1001"/>
        </w:numPr>
      </w:pPr>
      <w:r>
        <w:t xml:space="preserve">Open Reports → Data and definitions. Review coverage and excluded records. Test an approved synthetic case through save, exact PDF retrieval and recovery before operational use.</w:t>
      </w:r>
    </w:p>
    <w:p>
      <w:pPr>
        <w:pStyle w:val="FirstParagraph"/>
      </w:pPr>
      <w:r>
        <w:rPr>
          <w:b/>
          <w:bCs/>
        </w:rPr>
        <w:t xml:space="preserve">Compatibility.</w:t>
      </w:r>
      <w:r>
        <w:t xml:space="preserve"> </w:t>
      </w:r>
      <w:r>
        <w:t xml:space="preserve">This release uses case schema 5, summary version 6, workspace backup version 2 and current authoring version 14; new referrals use item-specific history and Days Outstanding, while earlier issued formats and existing special-document layouts retain their versions; R54 introduced authoring 12 for the aligned Best Interest and Vacancy Extension layout, and R56 introduced authoring 13 for their required item due dates.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
          <w:bCs/>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
          <w:bCs/>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
          <w:bCs/>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
          <w:bCs/>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
          <w:bCs/>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
          <w:bCs/>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
          <w:bCs/>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
          <w:bCs/>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An inspection already recorded on any document or visit of the case, including drafts, withdrawn and corrected documents, can still be selected; it then explains that it was already used and cannot be imported again. Completed, Scheduled, Pending, Assist and unlisted results cannot be imported. A result status is not proof that this program issued a document; shared records independently prevent inspection reuse.</w:t>
      </w:r>
    </w:p>
    <w:p>
      <w:pPr>
        <w:pStyle w:val="BodyText"/>
      </w:pPr>
      <w:r>
        <w:t xml:space="preserve">The imported inspection’s</w:t>
      </w:r>
      <w:r>
        <w:t xml:space="preserve"> </w:t>
      </w:r>
      <w:r>
        <w:rPr>
          <w:b/>
          <w:bCs/>
        </w:rPr>
        <w:t xml:space="preserve">Inspection Type</w:t>
      </w:r>
      <w:r>
        <w:t xml:space="preserve"> </w:t>
      </w:r>
      <w:r>
        <w:t xml:space="preserve">and</w:t>
      </w:r>
      <w:r>
        <w:t xml:space="preserve"> </w:t>
      </w:r>
      <w:r>
        <w:rPr>
          <w:b/>
          <w:bCs/>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pStyle w:val="Compact"/>
        <w:numPr>
          <w:ilvl w:val="0"/>
          <w:numId w:val="1002"/>
        </w:numPr>
      </w:pPr>
      <w:r>
        <w:rPr>
          <w:b/>
          <w:bCs/>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pStyle w:val="Compact"/>
        <w:numPr>
          <w:ilvl w:val="0"/>
          <w:numId w:val="1002"/>
        </w:numPr>
      </w:pPr>
      <w:r>
        <w:rPr>
          <w:b/>
          <w:bCs/>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pStyle w:val="Compact"/>
        <w:numPr>
          <w:ilvl w:val="0"/>
          <w:numId w:val="1002"/>
        </w:numPr>
      </w:pPr>
      <w:r>
        <w:rPr>
          <w:b/>
          <w:bCs/>
        </w:rPr>
        <w:t xml:space="preserve">CA Reinspection</w:t>
      </w:r>
      <w:r>
        <w:t xml:space="preserve"> </w:t>
      </w:r>
      <w:r>
        <w:t xml:space="preserve">needs an existing case that has been referred. Compliance → Compliance Letter; Non Compliance → Update for Case Referral.</w:t>
      </w:r>
    </w:p>
    <w:p>
      <w:pPr>
        <w:pStyle w:val="Compact"/>
        <w:numPr>
          <w:ilvl w:val="0"/>
          <w:numId w:val="1002"/>
        </w:numPr>
      </w:pPr>
      <w:r>
        <w:t xml:space="preserve">Completed and any other unlisted result cannot be imported: set the specific result in Accela and retrieve it again.</w:t>
      </w:r>
    </w:p>
    <w:p>
      <w:pPr>
        <w:pStyle w:val="Compact"/>
        <w:numPr>
          <w:ilvl w:val="0"/>
          <w:numId w:val="1002"/>
        </w:numPr>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
          <w:bCs/>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
          <w:bCs/>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
          <w:bCs/>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pStyle w:val="Compact"/>
        <w:numPr>
          <w:ilvl w:val="0"/>
          <w:numId w:val="1003"/>
        </w:numPr>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pStyle w:val="Compact"/>
        <w:numPr>
          <w:ilvl w:val="0"/>
          <w:numId w:val="1003"/>
        </w:numPr>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pStyle w:val="Compact"/>
        <w:numPr>
          <w:ilvl w:val="0"/>
          <w:numId w:val="1003"/>
        </w:numPr>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pStyle w:val="Compact"/>
        <w:numPr>
          <w:ilvl w:val="0"/>
          <w:numId w:val="1003"/>
        </w:numPr>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pStyle w:val="Compact"/>
        <w:numPr>
          <w:ilvl w:val="0"/>
          <w:numId w:val="1003"/>
        </w:numPr>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pStyle w:val="Compact"/>
        <w:numPr>
          <w:ilvl w:val="0"/>
          <w:numId w:val="1003"/>
        </w:numPr>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
          <w:bCs/>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
          <w:bCs/>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pStyle w:val="Compact"/>
        <w:numPr>
          <w:ilvl w:val="0"/>
          <w:numId w:val="1004"/>
        </w:numPr>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pStyle w:val="Compact"/>
        <w:numPr>
          <w:ilvl w:val="0"/>
          <w:numId w:val="1004"/>
        </w:numPr>
      </w:pPr>
      <w:r>
        <w:t xml:space="preserve">Verify the description, citation number, officer or department identifier, issue date, violation date and time, court date and session. Court suggestions are not reservations; use the division’s current court and numbering instructions.</w:t>
      </w:r>
    </w:p>
    <w:p>
      <w:pPr>
        <w:pStyle w:val="Compact"/>
        <w:numPr>
          <w:ilvl w:val="0"/>
          <w:numId w:val="1004"/>
        </w:numPr>
      </w:pPr>
      <w:r>
        <w:t xml:space="preserve">Complete any required measurements in that charge card. Conditional or unmapped entries require review; the program must not borrow an unrelated amount.</w:t>
      </w:r>
    </w:p>
    <w:p>
      <w:pPr>
        <w:pStyle w:val="Compact"/>
        <w:numPr>
          <w:ilvl w:val="0"/>
          <w:numId w:val="1004"/>
        </w:numPr>
      </w:pPr>
      <w:r>
        <w:t xml:space="preserve">Complete the deposit method and its source. Choose Complete charge after the required fields are valid. Other unfinished charge cards remain unfinished.</w:t>
      </w:r>
    </w:p>
    <w:p>
      <w:pPr>
        <w:pStyle w:val="Compact"/>
        <w:numPr>
          <w:ilvl w:val="0"/>
          <w:numId w:val="1004"/>
        </w:numPr>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
          <w:bCs/>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pStyle w:val="Compact"/>
        <w:numPr>
          <w:ilvl w:val="0"/>
          <w:numId w:val="1005"/>
        </w:numPr>
      </w:pPr>
      <w:r>
        <w:t xml:space="preserve">Import the actual completed snow inspection. Verify parcel/site, respondent, mailing address, inspector, date and time.</w:t>
      </w:r>
    </w:p>
    <w:p>
      <w:pPr>
        <w:pStyle w:val="Compact"/>
        <w:numPr>
          <w:ilvl w:val="0"/>
          <w:numId w:val="1005"/>
        </w:numPr>
      </w:pPr>
      <w:r>
        <w:t xml:space="preserve">Enter the accumulation date, a positive decimal depth in inches and the observed condition: snow covered, ice covered, or snow and ice covered. Confirm photographs and select the corner-lot/curb-ramp option when factually applicable.</w:t>
      </w:r>
    </w:p>
    <w:p>
      <w:pPr>
        <w:pStyle w:val="Compact"/>
        <w:numPr>
          <w:ilvl w:val="0"/>
          <w:numId w:val="1005"/>
        </w:numPr>
      </w:pPr>
      <w:r>
        <w:t xml:space="preserve">Check the timing message. The supplied rule allows until noon City time on the day after accumulation. An observation before that point is blocked. Use actual facts; never adjust the date or time to pass a check.</w:t>
      </w:r>
    </w:p>
    <w:p>
      <w:pPr>
        <w:pStyle w:val="Compact"/>
        <w:numPr>
          <w:ilvl w:val="0"/>
          <w:numId w:val="1005"/>
        </w:numPr>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pStyle w:val="Compact"/>
        <w:numPr>
          <w:ilvl w:val="0"/>
          <w:numId w:val="1005"/>
        </w:numPr>
      </w:pPr>
      <w:r>
        <w:t xml:space="preserve">Review seasonal letter content. After an authorized administrator changes it, choose Refresh seasonal letter and review the new content. Stale shared content prevents issuance until reconciled.</w:t>
      </w:r>
    </w:p>
    <w:p>
      <w:pPr>
        <w:pStyle w:val="Compact"/>
        <w:numPr>
          <w:ilvl w:val="0"/>
          <w:numId w:val="1005"/>
        </w:numPr>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
          <w:bCs/>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
          <w:bCs/>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
          <w:bCs/>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selected eligible items, with recorded reasons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The new authoring-15 Best Interest Extension uses the simplified entry described below; other scoped families and historical Best Interest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
          <w:bCs/>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
          <w:bCs/>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
          <w:bCs/>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
          <w:bCs/>
        </w:rPr>
        <w:t xml:space="preserve">Best Interest Extension.</w:t>
      </w:r>
      <w:r>
        <w:t xml:space="preserve"> </w:t>
      </w:r>
      <w:r>
        <w:t xml:space="preserve">New authoring-15 documents use Reasons for Additional Time without a signer block. Ordinary case/recipient facts and selected-item deadline rules remain. In Violation items, tick Affected beside each eligible item’s due date and enter its later date; other items retain their dates. Do not extend safety, security or urgent obligations. Confirm Affected items exclude safety, security and urgent obligations. This checkbox remains required; the separate factual-basis and authority/signer entry sections are removed only for this new Best Interest format. Older unissued drafts keep their earlier format unless Use simplified Reasons-only format is chosen; this retains their earlier review data. Issued historical formats and their corrections remain unchanged. This extension is not a City Attorney referral.</w:t>
      </w:r>
    </w:p>
    <w:p>
      <w:pPr>
        <w:pStyle w:val="BodyText"/>
      </w:pPr>
      <w:r>
        <w:rPr>
          <w:b/>
          <w:bCs/>
        </w:rPr>
        <w:t xml:space="preserve">Vacancy Extension.</w:t>
      </w:r>
      <w:r>
        <w:t xml:space="preserve"> </w:t>
      </w:r>
      <w:r>
        <w:t xml:space="preserve">Verify vacancy, request, selected items, maintenance/security conditions, review appointment, approved expiration model and transfer/disclosure wording. In the violation items table, tick Affected beside each affected item’s due date and enter its new due date. Contact-by is calculated seven calendar days before the actual review appointment; short notice needs the approved procedure reference. Renewal requires a new reviewed action. Apartment scope preserves common-area duties.</w:t>
      </w:r>
    </w:p>
    <w:p>
      <w:pPr>
        <w:pStyle w:val="BodyText"/>
      </w:pPr>
      <w:r>
        <w:rPr>
          <w:b/>
          <w:bCs/>
        </w:rPr>
        <w:t xml:space="preserve">R54 extension layout.</w:t>
      </w:r>
      <w:r>
        <w:t xml:space="preserve"> </w:t>
      </w:r>
      <w:r>
        <w:t xml:space="preserve">Newly authored Best Interest and Vacancy Extensions use the regular Extension’s header, recipient block, items table, continuation headers, footer and copy handling. Authoring-14 and earlier retain their approved language; R61 simplifies the new Best Interest narrative as described above. All items are listed, including corrected items ruled through with the confirmed date. Extended items show the new due date; unselected items keep the existing date. From R56 (authoring 13), every affected item of a new Best Interest or Vacancy Extension needs a later due date, marked Affected and entered in the violation items table; unaffected items keep their dates. Authoring-12 and earlier drafts keep the Affected outstanding items list in their details. Vacancy Extensions issued before R56 may be conditional: they display</w:t>
      </w:r>
      <w:r>
        <w:t xml:space="preserve"> </w:t>
      </w:r>
      <w:r>
        <w:t xml:space="preserve">“</w:t>
      </w:r>
      <w:r>
        <w:t xml:space="preserve">Conditional — see conditions above</w:t>
      </w:r>
      <w:r>
        <w:t xml:space="preserve">”</w:t>
      </w:r>
      <w:r>
        <w:t xml:space="preserve"> </w:t>
      </w:r>
      <w:r>
        <w:t xml:space="preserve">for affected items, keep their stored repair dates and reprint unchanged. Vacancy Extensions and authoring-14 and earlier Best Interest Extensions retain their supervisory signer after the table; new authoring-15 Best Interest Extensions have no signer block.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
          <w:bCs/>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
          <w:bCs/>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
          <w:bCs/>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
          <w:bCs/>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
          <w:bCs/>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pStyle w:val="Compact"/>
        <w:numPr>
          <w:ilvl w:val="0"/>
          <w:numId w:val="1006"/>
        </w:numPr>
      </w:pPr>
      <w:r>
        <w:t xml:space="preserve">Open the issued document from case history and choose Correct document.</w:t>
      </w:r>
    </w:p>
    <w:p>
      <w:pPr>
        <w:pStyle w:val="Compact"/>
        <w:numPr>
          <w:ilvl w:val="0"/>
          <w:numId w:val="1006"/>
        </w:numPr>
      </w:pPr>
      <w:r>
        <w:t xml:space="preserve">State the recording error and reason. For a citation or referral, record the actual receiving court or City Attorney amendment instructions/reference where required. The program does not issue those instructions for you.</w:t>
      </w:r>
    </w:p>
    <w:p>
      <w:pPr>
        <w:pStyle w:val="Compact"/>
        <w:numPr>
          <w:ilvl w:val="0"/>
          <w:numId w:val="1006"/>
        </w:numPr>
      </w:pPr>
      <w:r>
        <w:t xml:space="preserve">Make the permitted correction. Review the before/after comparison, affected case facts and linked worksheet facts. Keep the original document, item, root, visit and citation identities.</w:t>
      </w:r>
    </w:p>
    <w:p>
      <w:pPr>
        <w:pStyle w:val="Compact"/>
        <w:numPr>
          <w:ilvl w:val="0"/>
          <w:numId w:val="1006"/>
        </w:numPr>
      </w:pPr>
      <w:r>
        <w:t xml:space="preserve">Review and issue the linked revision. Until its shared save is confirmed, the earlier issued version remains effective in the program.</w:t>
      </w:r>
    </w:p>
    <w:p>
      <w:pPr>
        <w:pStyle w:val="Compact"/>
        <w:numPr>
          <w:ilvl w:val="0"/>
          <w:numId w:val="1006"/>
        </w:numPr>
      </w:pPr>
      <w:r>
        <w:t xml:space="preserve">Confirm the correction’s original PDF and complete outside amendment, mailing and recording steps under the actual procedure.</w:t>
      </w:r>
    </w:p>
    <w:p>
      <w:pPr>
        <w:pStyle w:val="FirstParagraph"/>
      </w:pPr>
      <w:r>
        <w:rPr>
          <w:b/>
          <w:bCs/>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
          <w:bCs/>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
          <w:bCs/>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
          <w:bCs/>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
          <w:bCs/>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
          <w:bCs/>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
          <w:bCs/>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
          <w:bCs/>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
          <w:bCs/>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
          <w:bCs/>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
          <w:bCs/>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
          <w:bCs/>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
          <w:bCs/>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
          <w:bCs/>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
          <w:bCs/>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
          <w:bCs/>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
          <w:bCs/>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
          <w:bCs/>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
          <w:bCs/>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
          <w:bCs/>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
          <w:bCs/>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
          <w:bCs/>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
          <w:bCs/>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
          <w:bCs/>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
          <w:bCs/>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
          <w:bCs/>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
          <w:bCs/>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
          <w:bCs/>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
          <w:bCs/>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
          <w:bCs/>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
          <w:bCs/>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
          <w:bCs/>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
          <w:bCs/>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
          <w:bCs/>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
          <w:bCs/>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
          <w:bCs/>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
          <w:bCs/>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
          <w:bCs/>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Completed, Scheduled, Pending, Assist and unlisted results cannot be imported. Missing actual dates also block import;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
          <w:bCs/>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
          <w:bCs/>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
          <w:bCs/>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
          <w:bCs/>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
          <w:bCs/>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bookmarkStart w:id="41" w:name="X7f8bc2be8e057229ddb3e0d5af6d4d1dbcfc12e"/>
    <w:p>
      <w:pPr>
        <w:pStyle w:val="Heading3"/>
      </w:pPr>
      <w:r>
        <w:t xml:space="preserve">Current Workspace and referral improvements</w:t>
      </w:r>
    </w:p>
    <w:p>
      <w:pPr>
        <w:pStyle w:val="FirstParagraph"/>
      </w:pP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w:t>
      </w:r>
    </w:p>
    <w:p>
      <w:pPr>
        <w:pStyle w:val="BodyText"/>
      </w:pPr>
      <w:r>
        <w:t xml:space="preserve">New City Attorney referrals and updates show each item’s recorded inspection observations, including corrected items.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Previously issued referrals keep their historical format.</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bookmarkEnd w:id="41"/>
    <w:bookmarkEnd w:id="42"/>
    <w:bookmarkStart w:id="43" w:name="r61-document-presentation"/>
    <w:p>
      <w:pPr>
        <w:pStyle w:val="Heading2"/>
      </w:pPr>
      <w:r>
        <w:t xml:space="preserve">R61 document presentation</w:t>
      </w:r>
    </w:p>
    <w:p>
      <w:pPr>
        <w:pStyle w:val="FirstParagraph"/>
      </w:pPr>
      <w:r>
        <w:t xml:space="preserve">New authoring-15 referrals and compliance letters show each item’s actual inspection history and observation notes. A corrected observation displays its date once, with CORRECTED beneath it. Days Outstanding ends at correction; unrelated or carried observations do not create additional visits. Compliance letters retain Abate Yes/No; missing legacy information is labeled Unavailable rather than invented. Issued histories remain frozen.</w:t>
      </w:r>
    </w:p>
    <w:p>
      <w:pPr>
        <w:pStyle w:val="BodyText"/>
      </w:pPr>
      <w:r>
        <w:t xml:space="preserve">Citation correction review displays dollars and cents consistently, including assessment components stored as integer cents. It does not recalculate the recorded correction values. Current order language displays 27.05(2)(g)2 without changing its canonical charge identity or pricing.</w:t>
      </w:r>
    </w:p>
    <w:p>
      <w:pPr>
        <w:pStyle w:val="BodyText"/>
      </w:pPr>
      <w:r>
        <w:t xml:space="preserve">The Best Interest signer placeholders are separate from document footers. Removing the new Best Interest signer block removes those bubbles. Existing single-page and continuation footer conventions and approved citation forms are retained. Verify the actual PDF and City print settings; incomplete new citation packets are refused instead of silently filed.</w:t>
      </w:r>
    </w:p>
    <w:p>
      <w:pPr>
        <w:pStyle w:val="BodyText"/>
      </w:pPr>
      <w:r>
        <w:t xml:space="preserve">Manual source digest 3d9a9202eadcf036.</w:t>
      </w:r>
    </w:p>
    <w:bookmarkEnd w:id="43"/>
    <w:bookmarkEnd w:id="44"/>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ja-JP"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2026-10-23T15:14:32Z</dcterms:created>
  <dcterms:modified xsi:type="dcterms:W3CDTF">2026-10-23T15:14:32Z</dcterms:modified>
</cp:coreProperties>
</file>

<file path=docProps/custom.xml><?xml version="1.0" encoding="utf-8"?>
<Properties xmlns="http://schemas.openxmlformats.org/officeDocument/2006/custom-properties" xmlns:vt="http://schemas.openxmlformats.org/officeDocument/2006/docPropsVTypes"/>
</file>