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2026-10-31 R67 · Helper 2026.10.31.68 · 31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R67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or first installs a newer release when one has been deployed.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with saving to the shared folder paused until IT fixes the deployment folder. This catches mistakes and damaged copies; protection against deliberate tampering comes from the deployment folder being writable only by the release owner.</w:t>
      </w:r>
    </w:p>
    <w:p>
      <w:pPr>
        <w:pStyle w:val="BodyText"/>
      </w:pPr>
      <w:r>
        <w:rPr>
          <w:bCs/>
          <w:b/>
        </w:rPr>
        <w:t xml:space="preserve">Newest release required.</w:t>
      </w:r>
      <w:r>
        <w:t xml:space="preserve"> </w:t>
      </w:r>
      <w:r>
        <w:t xml:space="preserve">Opening Document Writer always installs the newest release from the deployment folder. If an older copy is still running, the icon stops it first (it waits if that copy is saving or filing, and says so). A copy left open when a new release is deployed stops saving to the shared folder and asks you to exit and open Document Writer again; your work stays on this computer. Without the shared folder (for example off the network), Document Writer starts the installed copy and saves wait until the folder is reachable.</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 A copy can be changed to the type Violator when the person who is responsible for the violation is not the property owner: that person replaces the owner as the main contact in the mailing address block and as the defendant on any citation, and repeat offenses are counted against that person’s address. The owner is still copied under CC unless you clear Also copy the property owner (this choice is kept for the case). A case has one Violator, and a snow removal case always uses the owner. The mailing block is read-only while a Violator is set; change it in Recipients. Install the release that includes this feature on every PC before using it, because earlier releases print the Violator as an ordinary copy.</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shows section references without a trailing period, for example 27.05(2)(g)1 and 27.05(2)(h)3; this does not change the charge identity or pricing.</w:t>
      </w:r>
    </w:p>
    <w:p>
      <w:pPr>
        <w:pStyle w:val="BodyText"/>
      </w:pPr>
      <w:r>
        <w:t xml:space="preserve">All bundled order language can be selected except seven entries that still have no confirmed ordinance section (both carbon monoxide alarm entries, Occupancy Exceeds Permitted Use, Required permit inspections, Historic exterior work approval, Sleeping room without required egress and Unapproved room use). The owner approved the other formerly draft entries for selection on 2026-10-31, so they appear under Approved and standard, not under the default Approved language scope, which lists only entries with a recorded review. The seven are greyed out with their status until the division gives each its section and records an approved review under Order language → Review catalog. Picking the snow removal item on a new notice turns the draft into a snow removal citation (MGO 10.28); the picker stays open, and picking the snow item again restores the notice so other language can be added.</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617c679bb064cfea.</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2026-10-31T22:44:02Z</dcterms:created>
  <dcterms:modified xsi:type="dcterms:W3CDTF">2026-10-31T22:44:02Z</dcterms:modified>
</cp:coreProperties>
</file>

<file path=docProps/custom.xml><?xml version="1.0" encoding="utf-8"?>
<Properties xmlns="http://schemas.openxmlformats.org/officeDocument/2006/custom-properties" xmlns:vt="http://schemas.openxmlformats.org/officeDocument/2006/docPropsVTypes"/>
</file>