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2026-10-23 R62 · Helper 2026.10.23.63 · 23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R62 is a development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When Writer opens, wait for</w:t>
      </w:r>
      <w:r>
        <w:t xml:space="preserve"> </w:t>
      </w:r>
      <w:r>
        <w:rPr>
          <w:b/>
          <w:bCs/>
        </w:rPr>
        <w:t xml:space="preserve">Restoring saved workspace</w:t>
      </w:r>
      <w:r>
        <w:t xml:space="preserve"> </w:t>
      </w:r>
      <w:r>
        <w:t xml:space="preserve">to finish. If</w:t>
      </w:r>
      <w:r>
        <w:t xml:space="preserve"> </w:t>
      </w:r>
      <w:r>
        <w:rPr>
          <w:b/>
          <w:bCs/>
        </w:rPr>
        <w:t xml:space="preserve">Saved workspace could not be restored</w:t>
      </w:r>
      <w:r>
        <w:t xml:space="preserve"> </w:t>
      </w:r>
      <w:r>
        <w:t xml:space="preserve">appears, editing is paused to protect saved work. Choose</w:t>
      </w:r>
      <w:r>
        <w:t xml:space="preserve"> </w:t>
      </w:r>
      <w:r>
        <w:rPr>
          <w:b/>
          <w:bCs/>
        </w:rPr>
        <w:t xml:space="preserve">Reload and retry</w:t>
      </w:r>
      <w:r>
        <w:t xml:space="preserve">; if the problem continues, ask IT to check this browser profile and preserve its saved work. Do not clear browser site data to bypass the message.</w:t>
      </w:r>
    </w:p>
    <w:p>
      <w:pPr>
        <w:pStyle w:val="BodyText"/>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
          <w:bCs/>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
          <w:bCs/>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Keep one Writer window open in the same browser profile. Confirm Build 2026-10-23 R62 and helper 2026.10.23.63. Open Workspace and resolve any save confirmation, shared-history or PDF-filing exceptions before creating replacement work. Check pending deadlines and reminders.</w:t>
      </w:r>
    </w:p>
    <w:p>
      <w:pPr>
        <w:pStyle w:val="BodyText"/>
      </w:pPr>
      <w:r>
        <w:rPr>
          <w:b/>
          <w:bCs/>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
          <w:bCs/>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
          <w:bCs/>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
          <w:bCs/>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
          <w:bCs/>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
          <w:bCs/>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pStyle w:val="Compact"/>
        <w:numPr>
          <w:ilvl w:val="0"/>
          <w:numId w:val="1001"/>
        </w:numPr>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pStyle w:val="Compact"/>
        <w:numPr>
          <w:ilvl w:val="0"/>
          <w:numId w:val="1001"/>
        </w:numPr>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pStyle w:val="Compact"/>
        <w:numPr>
          <w:ilvl w:val="0"/>
          <w:numId w:val="1001"/>
        </w:numPr>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pStyle w:val="Compact"/>
        <w:numPr>
          <w:ilvl w:val="0"/>
          <w:numId w:val="1001"/>
        </w:numPr>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pStyle w:val="Compact"/>
        <w:numPr>
          <w:ilvl w:val="0"/>
          <w:numId w:val="1001"/>
        </w:numPr>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pStyle w:val="Compact"/>
        <w:numPr>
          <w:ilvl w:val="0"/>
          <w:numId w:val="1001"/>
        </w:numPr>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pStyle w:val="Compact"/>
        <w:numPr>
          <w:ilvl w:val="0"/>
          <w:numId w:val="1001"/>
        </w:numPr>
      </w:pPr>
      <w:r>
        <w:t xml:space="preserve">Open Reports → Data and definitions. Review coverage and excluded records. Test an approved synthetic case through save, exact PDF retrieval and recovery before operational use.</w:t>
      </w:r>
    </w:p>
    <w:p>
      <w:pPr>
        <w:pStyle w:val="FirstParagraph"/>
      </w:pPr>
      <w:r>
        <w:rPr>
          <w:b/>
          <w:bCs/>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
          <w:bCs/>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
          <w:bCs/>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
          <w:bCs/>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
          <w:bCs/>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
          <w:bCs/>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
          <w:bCs/>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
          <w:bCs/>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
          <w:bCs/>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No Violation, Reinspection and No Fee Reinspection results,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
          <w:bCs/>
        </w:rPr>
        <w:t xml:space="preserve">Inspection Type</w:t>
      </w:r>
      <w:r>
        <w:t xml:space="preserve"> </w:t>
      </w:r>
      <w:r>
        <w:t xml:space="preserve">and</w:t>
      </w:r>
      <w:r>
        <w:t xml:space="preserve"> </w:t>
      </w:r>
      <w:r>
        <w:rPr>
          <w:b/>
          <w:bCs/>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pStyle w:val="Compact"/>
        <w:numPr>
          <w:ilvl w:val="0"/>
          <w:numId w:val="1002"/>
        </w:numPr>
      </w:pPr>
      <w:r>
        <w:rPr>
          <w:b/>
          <w:bCs/>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pStyle w:val="Compact"/>
        <w:numPr>
          <w:ilvl w:val="0"/>
          <w:numId w:val="1002"/>
        </w:numPr>
      </w:pPr>
      <w:r>
        <w:rPr>
          <w:b/>
          <w:bCs/>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On a snow case, Citation records the next snow event.</w:t>
      </w:r>
    </w:p>
    <w:p>
      <w:pPr>
        <w:pStyle w:val="Compact"/>
        <w:numPr>
          <w:ilvl w:val="0"/>
          <w:numId w:val="1002"/>
        </w:numPr>
      </w:pPr>
      <w:r>
        <w:rPr>
          <w:b/>
          <w:bCs/>
        </w:rPr>
        <w:t xml:space="preserve">CA Reinspection</w:t>
      </w:r>
      <w:r>
        <w:t xml:space="preserve"> </w:t>
      </w:r>
      <w:r>
        <w:t xml:space="preserve">needs an existing case that has been referred. Compliance → Compliance Letter; Non Compliance → Update for Case Referral.</w:t>
      </w:r>
    </w:p>
    <w:p>
      <w:pPr>
        <w:pStyle w:val="Compact"/>
        <w:numPr>
          <w:ilvl w:val="0"/>
          <w:numId w:val="1002"/>
        </w:numPr>
      </w:pPr>
      <w:r>
        <w:t xml:space="preserve">Any other combination cannot be imported: set the specific result in Accela and retrieve it again.</w:t>
      </w:r>
    </w:p>
    <w:p>
      <w:pPr>
        <w:pStyle w:val="Compact"/>
        <w:numPr>
          <w:ilvl w:val="0"/>
          <w:numId w:val="1002"/>
        </w:numPr>
      </w:pPr>
      <w:r>
        <w:t xml:space="preserve">On a case already referred to the City Attorney, only results that lead to an Update for Case Referral or a Compliance Letter can be imported.</w:t>
      </w:r>
    </w:p>
    <w:p>
      <w:pPr>
        <w:pStyle w:val="Compact"/>
        <w:numPr>
          <w:ilvl w:val="0"/>
          <w:numId w:val="1002"/>
        </w:numPr>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
          <w:bCs/>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
          <w:bCs/>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
          <w:bCs/>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pStyle w:val="Compact"/>
        <w:numPr>
          <w:ilvl w:val="0"/>
          <w:numId w:val="1003"/>
        </w:numPr>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pStyle w:val="Compact"/>
        <w:numPr>
          <w:ilvl w:val="0"/>
          <w:numId w:val="1003"/>
        </w:numPr>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pStyle w:val="Compact"/>
        <w:numPr>
          <w:ilvl w:val="0"/>
          <w:numId w:val="1003"/>
        </w:numPr>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pStyle w:val="Compact"/>
        <w:numPr>
          <w:ilvl w:val="0"/>
          <w:numId w:val="1003"/>
        </w:numPr>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pStyle w:val="Compact"/>
        <w:numPr>
          <w:ilvl w:val="0"/>
          <w:numId w:val="1003"/>
        </w:numPr>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w:t>
      </w:r>
    </w:p>
    <w:p>
      <w:pPr>
        <w:pStyle w:val="Compact"/>
        <w:numPr>
          <w:ilvl w:val="0"/>
          <w:numId w:val="1003"/>
        </w:numPr>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
          <w:bCs/>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
          <w:bCs/>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displays 27.05(2)(g)2 without changing its canonical charge identity or pricing.</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
          <w:bCs/>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pStyle w:val="Compact"/>
        <w:numPr>
          <w:ilvl w:val="0"/>
          <w:numId w:val="1004"/>
        </w:numPr>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pStyle w:val="Compact"/>
        <w:numPr>
          <w:ilvl w:val="0"/>
          <w:numId w:val="1004"/>
        </w:numPr>
      </w:pPr>
      <w:r>
        <w:t xml:space="preserve">Verify the description, citation number, officer or department identifier, issue date, violation date and time, court date and session. Court suggestions are not reservations; use the division’s current court and numbering instructions.</w:t>
      </w:r>
    </w:p>
    <w:p>
      <w:pPr>
        <w:pStyle w:val="Compact"/>
        <w:numPr>
          <w:ilvl w:val="0"/>
          <w:numId w:val="1004"/>
        </w:numPr>
      </w:pPr>
      <w:r>
        <w:t xml:space="preserve">Complete any required measurements in that charge card. Conditional or unmapped entries require review; the program must not borrow an unrelated amount.</w:t>
      </w:r>
    </w:p>
    <w:p>
      <w:pPr>
        <w:pStyle w:val="Compact"/>
        <w:numPr>
          <w:ilvl w:val="0"/>
          <w:numId w:val="1004"/>
        </w:numPr>
      </w:pPr>
      <w:r>
        <w:t xml:space="preserve">Complete the deposit method and its source. Choose Complete charge after the required fields are valid. Other unfinished charge cards remain unfinished.</w:t>
      </w:r>
    </w:p>
    <w:p>
      <w:pPr>
        <w:pStyle w:val="Compact"/>
        <w:numPr>
          <w:ilvl w:val="0"/>
          <w:numId w:val="1004"/>
        </w:numPr>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
          <w:bCs/>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
          <w:bCs/>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pStyle w:val="Compact"/>
        <w:numPr>
          <w:ilvl w:val="0"/>
          <w:numId w:val="1005"/>
        </w:numPr>
      </w:pPr>
      <w:r>
        <w:t xml:space="preserve">Import the actual completed snow inspection. Verify parcel/site, respondent, mailing address, inspector, date and time.</w:t>
      </w:r>
    </w:p>
    <w:p>
      <w:pPr>
        <w:pStyle w:val="Compact"/>
        <w:numPr>
          <w:ilvl w:val="0"/>
          <w:numId w:val="1005"/>
        </w:numPr>
      </w:pPr>
      <w:r>
        <w:t xml:space="preserve">Enter the accumulation date, a positive decimal depth in inches and the observed condition: snow covered, ice covered, or snow and ice covered. Confirm photographs and select the corner-lot/curb-ramp option when factually applicable.</w:t>
      </w:r>
    </w:p>
    <w:p>
      <w:pPr>
        <w:pStyle w:val="Compact"/>
        <w:numPr>
          <w:ilvl w:val="0"/>
          <w:numId w:val="1005"/>
        </w:numPr>
      </w:pPr>
      <w:r>
        <w:t xml:space="preserve">Check the timing message. The supplied rule allows until noon City time on the day after accumulation. An observation before that point is blocked. Use actual facts; never adjust the date or time to pass a check.</w:t>
      </w:r>
    </w:p>
    <w:p>
      <w:pPr>
        <w:pStyle w:val="Compact"/>
        <w:numPr>
          <w:ilvl w:val="0"/>
          <w:numId w:val="1005"/>
        </w:numPr>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pStyle w:val="Compact"/>
        <w:numPr>
          <w:ilvl w:val="0"/>
          <w:numId w:val="1005"/>
        </w:numPr>
      </w:pPr>
      <w:r>
        <w:t xml:space="preserve">Review seasonal letter content. After an authorized administrator changes it, choose Refresh seasonal letter and review the new content. Stale shared content prevents issuance until reconciled.</w:t>
      </w:r>
    </w:p>
    <w:p>
      <w:pPr>
        <w:pStyle w:val="Compact"/>
        <w:numPr>
          <w:ilvl w:val="0"/>
          <w:numId w:val="1005"/>
        </w:numPr>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
          <w:bCs/>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
          <w:bCs/>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
          <w:bCs/>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
          <w:bCs/>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
          <w:bCs/>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
          <w:bCs/>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
          <w:bCs/>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
          <w:bCs/>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
          <w:bCs/>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
          <w:bCs/>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
          <w:bCs/>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Open the issued action and File issued PDF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
          <w:bCs/>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
          <w:bCs/>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
          <w:bCs/>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
          <w:bCs/>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pStyle w:val="Compact"/>
        <w:numPr>
          <w:ilvl w:val="0"/>
          <w:numId w:val="1006"/>
        </w:numPr>
      </w:pPr>
      <w:r>
        <w:t xml:space="preserve">Open the issued document from case history and choose Correct document.</w:t>
      </w:r>
    </w:p>
    <w:p>
      <w:pPr>
        <w:pStyle w:val="Compact"/>
        <w:numPr>
          <w:ilvl w:val="0"/>
          <w:numId w:val="1006"/>
        </w:numPr>
      </w:pPr>
      <w:r>
        <w:t xml:space="preserve">State the recording error and reason. For a citation or referral, record the actual receiving court or City Attorney amendment instructions/reference where required. The program does not issue those instructions for you.</w:t>
      </w:r>
    </w:p>
    <w:p>
      <w:pPr>
        <w:pStyle w:val="Compact"/>
        <w:numPr>
          <w:ilvl w:val="0"/>
          <w:numId w:val="1006"/>
        </w:numPr>
      </w:pPr>
      <w:r>
        <w:t xml:space="preserve">Make the permitted correction. Review the before/after comparison, affected case facts and linked worksheet facts. Keep the original document, item, root, visit and citation identities.</w:t>
      </w:r>
    </w:p>
    <w:p>
      <w:pPr>
        <w:pStyle w:val="Compact"/>
        <w:numPr>
          <w:ilvl w:val="0"/>
          <w:numId w:val="1006"/>
        </w:numPr>
      </w:pPr>
      <w:r>
        <w:t xml:space="preserve">Review and issue the linked revision. Until its shared save is confirmed, the earlier issued version remains effective in the program.</w:t>
      </w:r>
    </w:p>
    <w:p>
      <w:pPr>
        <w:pStyle w:val="Compact"/>
        <w:numPr>
          <w:ilvl w:val="0"/>
          <w:numId w:val="1006"/>
        </w:numPr>
      </w:pPr>
      <w:r>
        <w:t xml:space="preserve">Confirm the correction’s original PDF and complete outside amendment, mailing and recording steps under the actual procedure.</w:t>
      </w:r>
    </w:p>
    <w:p>
      <w:pPr>
        <w:pStyle w:val="FirstParagraph"/>
      </w:pPr>
      <w:r>
        <w:rPr>
          <w:b/>
          <w:bCs/>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
          <w:bCs/>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
          <w:bCs/>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
          <w:bCs/>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
          <w:bCs/>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
          <w:bCs/>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
          <w:bCs/>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
          <w:bCs/>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
          <w:bCs/>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
          <w:bCs/>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
          <w:bCs/>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
          <w:bCs/>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
          <w:bCs/>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
          <w:bCs/>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
          <w:bCs/>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
          <w:bCs/>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
          <w:bCs/>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
          <w:bCs/>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
          <w:bCs/>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
          <w:bCs/>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
          <w:bCs/>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
          <w:bCs/>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
          <w:bCs/>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
          <w:bCs/>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
          <w:bCs/>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
          <w:bCs/>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
          <w:bCs/>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
          <w:bCs/>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
          <w:bCs/>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
          <w:bCs/>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
          <w:bCs/>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
          <w:bCs/>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
          <w:bCs/>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
          <w:bCs/>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
          <w:bCs/>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
          <w:bCs/>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
          <w:bCs/>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
          <w:bCs/>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No Violation, Reinspection and No Fee Reinspection results,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
          <w:bCs/>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
          <w:bCs/>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
          <w:bCs/>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
          <w:bCs/>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
          <w:bCs/>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New Best Interest and Vacancy Extensions kept authoring 13</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In the aligned table layout, authoring-12–15 Vacancy Extensions and authoring-12–14 Best Interest Extensions print their supervisory signer after the table; authoring-11 and earlier use their historical narrative layout. Ordinary Extensions keep their own stored authoring version; the special-extension column above describes only Best Interest and Vacancy Extensions.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81146faea163e0ea.</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eastAsia="ja-JP"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2026-10-24T13:10:00Z</dcterms:created>
  <dcterms:modified xsi:type="dcterms:W3CDTF">2026-10-24T13:10:00Z</dcterms:modified>
</cp:coreProperties>
</file>

<file path=docProps/custom.xml><?xml version="1.0" encoding="utf-8"?>
<Properties xmlns="http://schemas.openxmlformats.org/officeDocument/2006/custom-properties" xmlns:vt="http://schemas.openxmlformats.org/officeDocument/2006/docPropsVTypes"/>
</file>